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230" w:type="dxa"/>
        <w:tblCellSpacing w:w="0" w:type="dxa"/>
        <w:tblBorders>
          <w:top w:val="single" w:sz="8" w:space="0" w:color="E7E7E7"/>
          <w:left w:val="single" w:sz="8" w:space="0" w:color="E7E7E7"/>
          <w:bottom w:val="single" w:sz="8" w:space="0" w:color="E7E7E7"/>
          <w:right w:val="single" w:sz="8" w:space="0" w:color="E7E7E7"/>
        </w:tblBorders>
        <w:shd w:val="clear" w:color="auto" w:fill="EBEBEB"/>
        <w:tblCellMar>
          <w:left w:w="0" w:type="dxa"/>
          <w:right w:w="0" w:type="dxa"/>
        </w:tblCellMar>
        <w:tblLook w:val="0000"/>
      </w:tblPr>
      <w:tblGrid>
        <w:gridCol w:w="10230"/>
      </w:tblGrid>
      <w:tr w:rsidR="00050521" w:rsidRPr="00050521" w:rsidTr="00050521">
        <w:trPr>
          <w:trHeight w:val="570"/>
          <w:tblCellSpacing w:w="0" w:type="dxa"/>
        </w:trPr>
        <w:tc>
          <w:tcPr>
            <w:tcW w:w="10230" w:type="dxa"/>
            <w:tcBorders>
              <w:top w:val="nil"/>
              <w:left w:val="nil"/>
              <w:bottom w:val="nil"/>
              <w:right w:val="nil"/>
            </w:tcBorders>
            <w:shd w:val="clear" w:color="auto" w:fill="C2EFC7"/>
            <w:vAlign w:val="bottom"/>
          </w:tcPr>
          <w:p w:rsidR="00050521" w:rsidRPr="00050521" w:rsidRDefault="00050521" w:rsidP="00050521">
            <w:pPr>
              <w:spacing w:beforeLines="1" w:afterLines="1"/>
              <w:jc w:val="both"/>
              <w:rPr>
                <w:rFonts w:ascii="Times" w:hAnsi="Times" w:cs="Times New Roman"/>
                <w:sz w:val="20"/>
                <w:szCs w:val="20"/>
                <w:lang w:eastAsia="fr-FR"/>
              </w:rPr>
            </w:pPr>
            <w:r w:rsidRPr="00050521">
              <w:rPr>
                <w:rFonts w:ascii="Verdana" w:hAnsi="Verdana" w:cs="Times New Roman"/>
                <w:color w:val="000000"/>
                <w:sz w:val="18"/>
                <w:szCs w:val="18"/>
                <w:lang w:eastAsia="fr-FR"/>
              </w:rPr>
              <w:t> </w:t>
            </w:r>
          </w:p>
        </w:tc>
      </w:tr>
      <w:tr w:rsidR="00050521" w:rsidRPr="00050521" w:rsidTr="00050521">
        <w:trPr>
          <w:tblCellSpacing w:w="0" w:type="dxa"/>
        </w:trPr>
        <w:tc>
          <w:tcPr>
            <w:tcW w:w="10230" w:type="dxa"/>
            <w:tcBorders>
              <w:top w:val="nil"/>
              <w:left w:val="nil"/>
              <w:bottom w:val="nil"/>
              <w:right w:val="nil"/>
            </w:tcBorders>
            <w:shd w:val="clear" w:color="auto" w:fill="EBEBEB"/>
            <w:vAlign w:val="center"/>
          </w:tcPr>
          <w:tbl>
            <w:tblPr>
              <w:tblW w:w="10065" w:type="dxa"/>
              <w:jc w:val="center"/>
              <w:tblCellSpacing w:w="0" w:type="dxa"/>
              <w:tblCellMar>
                <w:left w:w="0" w:type="dxa"/>
                <w:right w:w="0" w:type="dxa"/>
              </w:tblCellMar>
              <w:tblLook w:val="0000"/>
            </w:tblPr>
            <w:tblGrid>
              <w:gridCol w:w="10065"/>
            </w:tblGrid>
            <w:tr w:rsidR="00050521" w:rsidRPr="00050521" w:rsidTr="00050521">
              <w:trPr>
                <w:tblCellSpacing w:w="0" w:type="dxa"/>
                <w:jc w:val="center"/>
              </w:trPr>
              <w:tc>
                <w:tcPr>
                  <w:tcW w:w="10065" w:type="dxa"/>
                  <w:shd w:val="clear" w:color="auto" w:fill="auto"/>
                  <w:vAlign w:val="center"/>
                </w:tcPr>
                <w:p w:rsidR="00050521" w:rsidRPr="00050521" w:rsidRDefault="00050521" w:rsidP="00050521">
                  <w:pPr>
                    <w:jc w:val="both"/>
                    <w:rPr>
                      <w:rFonts w:ascii="Times" w:hAnsi="Times" w:cs="Times New Roman"/>
                      <w:sz w:val="20"/>
                      <w:szCs w:val="20"/>
                      <w:lang w:eastAsia="fr-FR"/>
                    </w:rPr>
                  </w:pPr>
                  <w:r>
                    <w:rPr>
                      <w:rFonts w:ascii="Verdana" w:hAnsi="Verdana" w:cs="Times New Roman"/>
                      <w:noProof/>
                      <w:color w:val="000000"/>
                      <w:sz w:val="18"/>
                      <w:szCs w:val="18"/>
                      <w:lang w:eastAsia="fr-FR"/>
                    </w:rPr>
                    <w:drawing>
                      <wp:inline distT="0" distB="0" distL="0" distR="0">
                        <wp:extent cx="1549400" cy="804545"/>
                        <wp:effectExtent l="25400" t="0" r="0" b="0"/>
                        <wp:docPr id="1" name="m_-1315012501943735348_x0000_i1025" descr="http://eolinfo.net/images/Logo%20Fed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315012501943735348_x0000_i1025" descr="http://eolinfo.net/images/Logo%20Fed120.jpg"/>
                                <pic:cNvPicPr>
                                  <a:picLocks noChangeAspect="1" noChangeArrowheads="1"/>
                                </pic:cNvPicPr>
                              </pic:nvPicPr>
                              <pic:blipFill>
                                <a:blip r:embed="rId4"/>
                                <a:srcRect/>
                                <a:stretch>
                                  <a:fillRect/>
                                </a:stretch>
                              </pic:blipFill>
                              <pic:spPr bwMode="auto">
                                <a:xfrm>
                                  <a:off x="0" y="0"/>
                                  <a:ext cx="1549400" cy="804545"/>
                                </a:xfrm>
                                <a:prstGeom prst="rect">
                                  <a:avLst/>
                                </a:prstGeom>
                                <a:noFill/>
                                <a:ln w="9525">
                                  <a:noFill/>
                                  <a:miter lim="800000"/>
                                  <a:headEnd/>
                                  <a:tailEnd/>
                                </a:ln>
                              </pic:spPr>
                            </pic:pic>
                          </a:graphicData>
                        </a:graphic>
                      </wp:inline>
                    </w:drawing>
                  </w:r>
                  <w:r w:rsidRPr="00050521">
                    <w:rPr>
                      <w:rFonts w:ascii="Verdana" w:hAnsi="Verdana" w:cs="Times New Roman"/>
                      <w:color w:val="000000"/>
                      <w:sz w:val="18"/>
                      <w:szCs w:val="18"/>
                      <w:lang w:eastAsia="fr-FR"/>
                    </w:rPr>
                    <w:t> </w:t>
                  </w:r>
                </w:p>
                <w:p w:rsidR="00050521" w:rsidRPr="00050521" w:rsidRDefault="00050521" w:rsidP="00050521">
                  <w:pPr>
                    <w:jc w:val="both"/>
                    <w:rPr>
                      <w:rFonts w:ascii="Times" w:hAnsi="Times" w:cs="Times New Roman"/>
                      <w:sz w:val="20"/>
                      <w:szCs w:val="20"/>
                      <w:lang w:eastAsia="fr-FR"/>
                    </w:rPr>
                  </w:pPr>
                  <w:r w:rsidRPr="00050521">
                    <w:rPr>
                      <w:rFonts w:ascii="Arial" w:hAnsi="Arial" w:cs="Times New Roman"/>
                      <w:b/>
                      <w:color w:val="000000"/>
                      <w:sz w:val="18"/>
                      <w:lang w:eastAsia="fr-FR"/>
                    </w:rPr>
                    <w:t>Communiqué de presse</w:t>
                  </w:r>
                </w:p>
                <w:p w:rsidR="00000000" w:rsidRPr="00050521" w:rsidRDefault="00050521" w:rsidP="00050521">
                  <w:pPr>
                    <w:jc w:val="both"/>
                    <w:rPr>
                      <w:rFonts w:ascii="Times" w:hAnsi="Times" w:cs="Times New Roman"/>
                      <w:sz w:val="20"/>
                      <w:szCs w:val="20"/>
                      <w:lang w:eastAsia="fr-FR"/>
                    </w:rPr>
                  </w:pPr>
                  <w:r w:rsidRPr="00050521">
                    <w:rPr>
                      <w:rFonts w:ascii="Arial" w:hAnsi="Arial" w:cs="Times New Roman"/>
                      <w:b/>
                      <w:color w:val="000000"/>
                      <w:sz w:val="18"/>
                      <w:lang w:eastAsia="fr-FR"/>
                    </w:rPr>
                    <w:fldChar w:fldCharType="begin"/>
                  </w:r>
                  <w:r w:rsidRPr="00050521">
                    <w:rPr>
                      <w:rFonts w:ascii="Arial" w:hAnsi="Arial" w:cs="Times New Roman"/>
                      <w:b/>
                      <w:color w:val="000000"/>
                      <w:sz w:val="18"/>
                      <w:lang w:eastAsia="fr-FR"/>
                    </w:rPr>
                    <w:instrText xml:space="preserve"> HYPERLINK "http://eolinfo.net/index.php?option=com_acymailing&amp;ctrl=url&amp;subid=179636&amp;urlid=1681&amp;mailid=302" \t "_blank" </w:instrText>
                  </w:r>
                  <w:r w:rsidRPr="00050521">
                    <w:rPr>
                      <w:rFonts w:ascii="Arial" w:hAnsi="Arial" w:cs="Times New Roman"/>
                      <w:b/>
                      <w:color w:val="000000"/>
                      <w:sz w:val="18"/>
                      <w:szCs w:val="18"/>
                      <w:lang w:eastAsia="fr-FR"/>
                    </w:rPr>
                  </w:r>
                  <w:r w:rsidRPr="00050521">
                    <w:rPr>
                      <w:rFonts w:ascii="Arial" w:hAnsi="Arial" w:cs="Times New Roman"/>
                      <w:b/>
                      <w:color w:val="000000"/>
                      <w:sz w:val="18"/>
                      <w:lang w:eastAsia="fr-FR"/>
                    </w:rPr>
                    <w:fldChar w:fldCharType="separate"/>
                  </w:r>
                  <w:r w:rsidRPr="00050521">
                    <w:rPr>
                      <w:rFonts w:ascii="Arial" w:hAnsi="Arial" w:cs="Times New Roman"/>
                      <w:b/>
                      <w:i/>
                      <w:color w:val="993300"/>
                      <w:sz w:val="18"/>
                      <w:lang w:eastAsia="fr-FR"/>
                    </w:rPr>
                    <w:t>   </w:t>
                  </w:r>
                  <w:r w:rsidRPr="00050521">
                    <w:rPr>
                      <w:rFonts w:ascii="Arial" w:hAnsi="Arial" w:cs="Times New Roman"/>
                      <w:b/>
                      <w:color w:val="000000"/>
                      <w:sz w:val="18"/>
                      <w:lang w:eastAsia="fr-FR"/>
                    </w:rPr>
                    <w:fldChar w:fldCharType="end"/>
                  </w:r>
                  <w:r w:rsidRPr="00050521">
                    <w:rPr>
                      <w:rFonts w:ascii="Arial" w:hAnsi="Arial" w:cs="Times New Roman"/>
                      <w:b/>
                      <w:color w:val="000000"/>
                      <w:sz w:val="18"/>
                      <w:lang w:eastAsia="fr-FR"/>
                    </w:rPr>
                    <w:fldChar w:fldCharType="begin"/>
                  </w:r>
                  <w:r w:rsidRPr="00050521">
                    <w:rPr>
                      <w:rFonts w:ascii="Arial" w:hAnsi="Arial" w:cs="Times New Roman"/>
                      <w:b/>
                      <w:color w:val="000000"/>
                      <w:sz w:val="18"/>
                      <w:lang w:eastAsia="fr-FR"/>
                    </w:rPr>
                    <w:instrText xml:space="preserve"> HYPERLINK "http://eolinfo.net/index.php?option=com_acymailing&amp;ctrl=url&amp;subid=179636&amp;urlid=1682&amp;mailid=302" \t "_blank" </w:instrText>
                  </w:r>
                  <w:r w:rsidRPr="00050521">
                    <w:rPr>
                      <w:rFonts w:ascii="Arial" w:hAnsi="Arial" w:cs="Times New Roman"/>
                      <w:b/>
                      <w:color w:val="000000"/>
                      <w:sz w:val="18"/>
                      <w:szCs w:val="18"/>
                      <w:lang w:eastAsia="fr-FR"/>
                    </w:rPr>
                  </w:r>
                  <w:r w:rsidRPr="00050521">
                    <w:rPr>
                      <w:rFonts w:ascii="Arial" w:hAnsi="Arial" w:cs="Times New Roman"/>
                      <w:b/>
                      <w:color w:val="000000"/>
                      <w:sz w:val="18"/>
                      <w:lang w:eastAsia="fr-FR"/>
                    </w:rPr>
                    <w:fldChar w:fldCharType="separate"/>
                  </w:r>
                  <w:r w:rsidRPr="00050521">
                    <w:rPr>
                      <w:rFonts w:ascii="Arial" w:hAnsi="Arial" w:cs="Times New Roman"/>
                      <w:b/>
                      <w:i/>
                      <w:color w:val="993300"/>
                      <w:sz w:val="18"/>
                      <w:lang w:eastAsia="fr-FR"/>
                    </w:rPr>
                    <w:t>   </w:t>
                  </w:r>
                  <w:r w:rsidRPr="00050521">
                    <w:rPr>
                      <w:rFonts w:ascii="Arial" w:hAnsi="Arial" w:cs="Times New Roman"/>
                      <w:b/>
                      <w:color w:val="000000"/>
                      <w:sz w:val="18"/>
                      <w:lang w:eastAsia="fr-FR"/>
                    </w:rPr>
                    <w:fldChar w:fldCharType="end"/>
                  </w:r>
                  <w:r>
                    <w:rPr>
                      <w:rFonts w:ascii="Arial" w:hAnsi="Arial" w:cs="Times New Roman"/>
                      <w:b/>
                      <w:i/>
                      <w:noProof/>
                      <w:color w:val="993300"/>
                      <w:sz w:val="18"/>
                      <w:szCs w:val="18"/>
                      <w:lang w:eastAsia="fr-FR"/>
                    </w:rPr>
                    <w:drawing>
                      <wp:inline distT="0" distB="0" distL="0" distR="0">
                        <wp:extent cx="177800" cy="177800"/>
                        <wp:effectExtent l="25400" t="0" r="0" b="0"/>
                        <wp:docPr id="3" name="m_-1315012501943735348_x0000_i1026" descr="mpri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315012501943735348_x0000_i1026" descr="mprimer"/>
                                <pic:cNvPicPr>
                                  <a:picLocks noChangeAspect="1" noChangeArrowheads="1"/>
                                </pic:cNvPicPr>
                              </pic:nvPicPr>
                              <pic:blipFill>
                                <a:blip r:embed="rId6"/>
                                <a:srcRect/>
                                <a:stretch>
                                  <a:fillRect/>
                                </a:stretch>
                              </pic:blipFill>
                              <pic:spPr bwMode="auto">
                                <a:xfrm>
                                  <a:off x="0" y="0"/>
                                  <a:ext cx="177800" cy="177800"/>
                                </a:xfrm>
                                <a:prstGeom prst="rect">
                                  <a:avLst/>
                                </a:prstGeom>
                                <a:noFill/>
                                <a:ln w="9525">
                                  <a:noFill/>
                                  <a:miter lim="800000"/>
                                  <a:headEnd/>
                                  <a:tailEnd/>
                                </a:ln>
                              </pic:spPr>
                            </pic:pic>
                          </a:graphicData>
                        </a:graphic>
                      </wp:inline>
                    </w:drawing>
                  </w:r>
                  <w:r w:rsidRPr="00050521">
                    <w:rPr>
                      <w:rFonts w:ascii="Arial" w:hAnsi="Arial" w:cs="Times New Roman"/>
                      <w:b/>
                      <w:color w:val="000000"/>
                      <w:sz w:val="18"/>
                      <w:lang w:eastAsia="fr-FR"/>
                    </w:rPr>
                    <w:t>      </w:t>
                  </w:r>
                </w:p>
              </w:tc>
            </w:tr>
            <w:tr w:rsidR="00050521" w:rsidRPr="00050521" w:rsidTr="00050521">
              <w:trPr>
                <w:tblCellSpacing w:w="0" w:type="dxa"/>
                <w:jc w:val="center"/>
              </w:trPr>
              <w:tc>
                <w:tcPr>
                  <w:tcW w:w="10065" w:type="dxa"/>
                  <w:shd w:val="clear" w:color="auto" w:fill="FEFEFE"/>
                  <w:vAlign w:val="center"/>
                </w:tcPr>
                <w:p w:rsidR="00050521" w:rsidRPr="00050521" w:rsidRDefault="00050521" w:rsidP="00050521">
                  <w:pPr>
                    <w:rPr>
                      <w:rFonts w:ascii="Times" w:hAnsi="Times" w:cs="Times New Roman"/>
                      <w:sz w:val="20"/>
                      <w:szCs w:val="20"/>
                      <w:lang w:eastAsia="fr-FR"/>
                    </w:rPr>
                  </w:pPr>
                  <w:r w:rsidRPr="00050521">
                    <w:rPr>
                      <w:rFonts w:ascii="Verdana" w:hAnsi="Verdana" w:cs="Times New Roman"/>
                      <w:color w:val="000000"/>
                      <w:sz w:val="18"/>
                      <w:szCs w:val="18"/>
                      <w:lang w:eastAsia="fr-FR"/>
                    </w:rPr>
                    <w:t> </w:t>
                  </w:r>
                </w:p>
                <w:p w:rsidR="00050521" w:rsidRPr="00050521" w:rsidRDefault="00050521" w:rsidP="00050521">
                  <w:pPr>
                    <w:spacing w:beforeLines="1"/>
                    <w:jc w:val="both"/>
                    <w:rPr>
                      <w:rFonts w:ascii="Times" w:hAnsi="Times" w:cs="Times New Roman"/>
                      <w:sz w:val="20"/>
                      <w:szCs w:val="20"/>
                      <w:lang w:eastAsia="fr-FR"/>
                    </w:rPr>
                  </w:pPr>
                  <w:r w:rsidRPr="00050521">
                    <w:rPr>
                      <w:rFonts w:ascii="Verdana" w:hAnsi="Verdana" w:cs="Times New Roman"/>
                      <w:color w:val="000000"/>
                      <w:sz w:val="18"/>
                      <w:szCs w:val="18"/>
                      <w:lang w:eastAsia="fr-FR"/>
                    </w:rPr>
                    <w:t>Paris le 20 février 2018         </w:t>
                  </w:r>
                  <w:r w:rsidRPr="00050521">
                    <w:rPr>
                      <w:rFonts w:ascii="Verdana" w:hAnsi="Verdana" w:cs="Times New Roman"/>
                      <w:color w:val="000000"/>
                      <w:sz w:val="18"/>
                      <w:lang w:eastAsia="fr-FR"/>
                    </w:rPr>
                    <w:t> </w:t>
                  </w:r>
                  <w:r w:rsidRPr="00050521">
                    <w:rPr>
                      <w:rFonts w:ascii="Verdana" w:hAnsi="Verdana" w:cs="Times New Roman"/>
                      <w:color w:val="000000"/>
                      <w:sz w:val="18"/>
                      <w:szCs w:val="18"/>
                      <w:lang w:eastAsia="fr-FR"/>
                    </w:rPr>
                    <w:br/>
                    <w:t>           </w:t>
                  </w:r>
                  <w:r w:rsidRPr="00050521">
                    <w:rPr>
                      <w:rFonts w:ascii="Verdana" w:hAnsi="Verdana" w:cs="Times New Roman"/>
                      <w:color w:val="000000"/>
                      <w:sz w:val="18"/>
                      <w:lang w:eastAsia="fr-FR"/>
                    </w:rPr>
                    <w:t> </w:t>
                  </w:r>
                  <w:r w:rsidRPr="00050521">
                    <w:rPr>
                      <w:rFonts w:ascii="Verdana" w:hAnsi="Verdana" w:cs="Times New Roman"/>
                      <w:color w:val="000000"/>
                      <w:sz w:val="18"/>
                      <w:szCs w:val="18"/>
                      <w:lang w:eastAsia="fr-FR"/>
                    </w:rPr>
                    <w:br/>
                  </w:r>
                  <w:r w:rsidRPr="00050521">
                    <w:rPr>
                      <w:rFonts w:ascii="Verdana" w:hAnsi="Verdana" w:cs="Times New Roman"/>
                      <w:b/>
                      <w:color w:val="000000"/>
                      <w:sz w:val="18"/>
                      <w:u w:val="single"/>
                      <w:lang w:eastAsia="fr-FR"/>
                    </w:rPr>
                    <w:t>Communiqué  de presse de la Fédération Environnement Durable</w:t>
                  </w:r>
                  <w:r w:rsidRPr="00050521">
                    <w:rPr>
                      <w:rFonts w:ascii="Verdana" w:hAnsi="Verdana" w:cs="Times New Roman"/>
                      <w:b/>
                      <w:color w:val="000000"/>
                      <w:sz w:val="18"/>
                      <w:szCs w:val="18"/>
                      <w:lang w:eastAsia="fr-FR"/>
                    </w:rPr>
                    <w:br/>
                  </w:r>
                  <w:r w:rsidRPr="00050521">
                    <w:rPr>
                      <w:rFonts w:ascii="Verdana" w:hAnsi="Verdana" w:cs="Times New Roman"/>
                      <w:b/>
                      <w:color w:val="000000"/>
                      <w:sz w:val="18"/>
                      <w:szCs w:val="18"/>
                      <w:lang w:eastAsia="fr-FR"/>
                    </w:rPr>
                    <w:br/>
                  </w:r>
                  <w:r w:rsidRPr="00050521">
                    <w:rPr>
                      <w:rFonts w:ascii="Verdana" w:hAnsi="Verdana" w:cs="Times New Roman"/>
                      <w:b/>
                      <w:color w:val="000000"/>
                      <w:sz w:val="18"/>
                      <w:lang w:eastAsia="fr-FR"/>
                    </w:rPr>
                    <w:t xml:space="preserve">Éolien. Réponse à Mr  </w:t>
                  </w:r>
                  <w:proofErr w:type="spellStart"/>
                  <w:r w:rsidRPr="00050521">
                    <w:rPr>
                      <w:rFonts w:ascii="Verdana" w:hAnsi="Verdana" w:cs="Times New Roman"/>
                      <w:b/>
                      <w:color w:val="000000"/>
                      <w:sz w:val="18"/>
                      <w:lang w:eastAsia="fr-FR"/>
                    </w:rPr>
                    <w:t>Sébatien</w:t>
                  </w:r>
                  <w:proofErr w:type="spellEnd"/>
                  <w:r w:rsidRPr="00050521">
                    <w:rPr>
                      <w:rFonts w:ascii="Verdana" w:hAnsi="Verdana" w:cs="Times New Roman"/>
                      <w:b/>
                      <w:color w:val="000000"/>
                      <w:sz w:val="18"/>
                      <w:lang w:eastAsia="fr-FR"/>
                    </w:rPr>
                    <w:t xml:space="preserve"> </w:t>
                  </w:r>
                  <w:proofErr w:type="spellStart"/>
                  <w:r w:rsidRPr="00050521">
                    <w:rPr>
                      <w:rFonts w:ascii="Verdana" w:hAnsi="Verdana" w:cs="Times New Roman"/>
                      <w:b/>
                      <w:color w:val="000000"/>
                      <w:sz w:val="18"/>
                      <w:lang w:eastAsia="fr-FR"/>
                    </w:rPr>
                    <w:t>Lecornu</w:t>
                  </w:r>
                  <w:proofErr w:type="spellEnd"/>
                  <w:r w:rsidRPr="00050521">
                    <w:rPr>
                      <w:rFonts w:ascii="Verdana" w:hAnsi="Verdana" w:cs="Times New Roman"/>
                      <w:b/>
                      <w:color w:val="000000"/>
                      <w:sz w:val="18"/>
                      <w:lang w:eastAsia="fr-FR"/>
                    </w:rPr>
                    <w:t> Secrétaire d’État </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 xml:space="preserve">Reçue le 8 février 2018 par M. Sébastien </w:t>
                  </w:r>
                  <w:proofErr w:type="spellStart"/>
                  <w:r w:rsidRPr="00050521">
                    <w:rPr>
                      <w:rFonts w:ascii="Verdana" w:hAnsi="Verdana" w:cs="Times New Roman"/>
                      <w:color w:val="000000"/>
                      <w:sz w:val="18"/>
                      <w:szCs w:val="18"/>
                      <w:lang w:eastAsia="fr-FR"/>
                    </w:rPr>
                    <w:t>Lecornu</w:t>
                  </w:r>
                  <w:proofErr w:type="spellEnd"/>
                  <w:r w:rsidRPr="00050521">
                    <w:rPr>
                      <w:rFonts w:ascii="Verdana" w:hAnsi="Verdana" w:cs="Times New Roman"/>
                      <w:color w:val="000000"/>
                      <w:sz w:val="18"/>
                      <w:szCs w:val="18"/>
                      <w:lang w:eastAsia="fr-FR"/>
                    </w:rPr>
                    <w:t xml:space="preserve">, Secrétaire d’État à la transition énergétique écologique et solidaire, en présence de M. Martin </w:t>
                  </w:r>
                  <w:proofErr w:type="spellStart"/>
                  <w:r w:rsidRPr="00050521">
                    <w:rPr>
                      <w:rFonts w:ascii="Verdana" w:hAnsi="Verdana" w:cs="Times New Roman"/>
                      <w:color w:val="000000"/>
                      <w:sz w:val="18"/>
                      <w:szCs w:val="18"/>
                      <w:lang w:eastAsia="fr-FR"/>
                    </w:rPr>
                    <w:t>Guespereau</w:t>
                  </w:r>
                  <w:proofErr w:type="spellEnd"/>
                  <w:r w:rsidRPr="00050521">
                    <w:rPr>
                      <w:rFonts w:ascii="Verdana" w:hAnsi="Verdana" w:cs="Times New Roman"/>
                      <w:color w:val="000000"/>
                      <w:sz w:val="18"/>
                      <w:szCs w:val="18"/>
                      <w:lang w:eastAsia="fr-FR"/>
                    </w:rPr>
                    <w:t>, son directeur de cabinet, la Fédération de l’Environnement Durable (FED) prend  acte de la volonté du ministre d’ouvrir une concertation avec  les associations présentes alors qu’elles avaient été exclues depuis des mois  des  réflexions en cours sur l’éolien.</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 </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La FED  rappelle que sa  contestation résolue à l’égard de l’éolien industriel ne relève pas seulement de considérations visant, le patrimoine et les paysages mais prend en compte les atteintes que porte cette source d’énergie à l’intérêt général de notre pays pour des  points de vue économiques, financiers et sociaux.</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 </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La FED    confirme notamment son opposition  catégorique à toute mesure dérogatoire au droit commun et plus particulièrement  à la suppression de l’échelon des tribunaux administratifs pour le contentieux éolien.  La FED considère que  cette volonté de supprimer l’accès direct au juge de première instance, « juge naturel </w:t>
                  </w:r>
                  <w:proofErr w:type="gramStart"/>
                  <w:r w:rsidRPr="00050521">
                    <w:rPr>
                      <w:rFonts w:ascii="Verdana" w:hAnsi="Verdana" w:cs="Times New Roman"/>
                      <w:color w:val="000000"/>
                      <w:sz w:val="18"/>
                      <w:szCs w:val="18"/>
                      <w:lang w:eastAsia="fr-FR"/>
                    </w:rPr>
                    <w:t>» ,</w:t>
                  </w:r>
                  <w:proofErr w:type="gramEnd"/>
                  <w:r w:rsidRPr="00050521">
                    <w:rPr>
                      <w:rFonts w:ascii="Verdana" w:hAnsi="Verdana" w:cs="Times New Roman"/>
                      <w:color w:val="000000"/>
                      <w:sz w:val="18"/>
                      <w:szCs w:val="18"/>
                      <w:lang w:eastAsia="fr-FR"/>
                    </w:rPr>
                    <w:t xml:space="preserve"> de proximité et peu  couteux pour le justiciable, sous l’habillage d’un souci de rapidité favorisant la mise en place des projets alors qu’il s’agit, de fait, de museler des victimes, constitue une violation du principe fondamental que constitue le droit à un procès effectif.</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 </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Elle affirme qu’avant toute nouvelle mesure encourageant le développement de l’éolien, un audit complet, indépendant et impartial  de  toutes  les filières de l’argent éolien  industriel doit être conduit ainsi que ses impacts  sur les finances publiques, sur la production électrique, sur les biens des riverains et sur le tourisme</w:t>
                  </w:r>
                  <w:r w:rsidRPr="00050521">
                    <w:rPr>
                      <w:rFonts w:ascii="Verdana" w:hAnsi="Verdana" w:cs="Times New Roman"/>
                      <w:color w:val="000000"/>
                      <w:sz w:val="18"/>
                      <w:lang w:eastAsia="fr-FR"/>
                    </w:rPr>
                    <w:t> </w:t>
                  </w:r>
                  <w:r w:rsidRPr="00050521">
                    <w:rPr>
                      <w:rFonts w:ascii="Verdana" w:hAnsi="Verdana" w:cs="Times New Roman"/>
                      <w:color w:val="000000"/>
                      <w:sz w:val="18"/>
                      <w:szCs w:val="18"/>
                      <w:lang w:eastAsia="fr-FR"/>
                    </w:rPr>
                    <w:br/>
                  </w:r>
                  <w:r w:rsidRPr="00050521">
                    <w:rPr>
                      <w:rFonts w:ascii="Verdana" w:hAnsi="Verdana" w:cs="Times New Roman"/>
                      <w:color w:val="000000"/>
                      <w:sz w:val="18"/>
                      <w:szCs w:val="18"/>
                      <w:lang w:eastAsia="fr-FR"/>
                    </w:rPr>
                    <w:br/>
                    <w:t>Elle  demande   pour des questions de santé humaine et de morale que des règles strictes conservatoires  sur la hauteur des éoliennes et les nuisances acoustiques qu’elles entrainent soient fixées par les pouvoirs publics. Le principe d’une distance de dix fois la hauteur des éoliennes devrait être  adopté.          </w:t>
                  </w:r>
                  <w:r w:rsidRPr="00050521">
                    <w:rPr>
                      <w:rFonts w:ascii="Verdana" w:hAnsi="Verdana" w:cs="Times New Roman"/>
                      <w:color w:val="000000"/>
                      <w:sz w:val="18"/>
                      <w:lang w:eastAsia="fr-FR"/>
                    </w:rPr>
                    <w:t> </w:t>
                  </w:r>
                  <w:r w:rsidRPr="00050521">
                    <w:rPr>
                      <w:rFonts w:ascii="Verdana" w:hAnsi="Verdana" w:cs="Times New Roman"/>
                      <w:color w:val="000000"/>
                      <w:sz w:val="18"/>
                      <w:szCs w:val="18"/>
                      <w:lang w:eastAsia="fr-FR"/>
                    </w:rPr>
                    <w:br/>
                  </w:r>
                  <w:r w:rsidRPr="00050521">
                    <w:rPr>
                      <w:rFonts w:ascii="Verdana" w:hAnsi="Verdana" w:cs="Times New Roman"/>
                      <w:color w:val="000000"/>
                      <w:sz w:val="18"/>
                      <w:szCs w:val="18"/>
                      <w:lang w:eastAsia="fr-FR"/>
                    </w:rPr>
                    <w:br/>
                    <w:t>Elle rappelle que, d’un avis partagé, la transition énergétique passe par d’autres voies que l’énergie éolienne. Les moyens financiers prélevés sur les consommateurs qui cannibalisent toutes les autres filières d’énergies renouvelables devraient être consacrés à de véritables investissements d’avenir.</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 </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La  FED indique qu’elle n’est pas opposée au principe de poursuivre un dialogue ouvert,  démocratique et constructif avec les pouvoirs publics pour  permette de faire apparaitre des solutions positives au débat sur l’avenir énergétique de la France.</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lang w:eastAsia="fr-FR"/>
                    </w:rPr>
                    <w:t> </w:t>
                  </w:r>
                </w:p>
                <w:p w:rsidR="00050521" w:rsidRPr="00050521" w:rsidRDefault="00050521" w:rsidP="00050521">
                  <w:pPr>
                    <w:jc w:val="both"/>
                    <w:rPr>
                      <w:rFonts w:ascii="Times" w:hAnsi="Times" w:cs="Times New Roman"/>
                      <w:sz w:val="20"/>
                      <w:szCs w:val="20"/>
                      <w:lang w:eastAsia="fr-FR"/>
                    </w:rPr>
                  </w:pPr>
                  <w:r w:rsidRPr="00050521">
                    <w:rPr>
                      <w:rFonts w:ascii="Verdana" w:hAnsi="Verdana" w:cs="Times New Roman"/>
                      <w:color w:val="000000"/>
                      <w:sz w:val="18"/>
                      <w:szCs w:val="18"/>
                      <w:u w:val="single"/>
                      <w:lang w:eastAsia="fr-FR"/>
                    </w:rPr>
                    <w:t>Contact :</w:t>
                  </w:r>
                </w:p>
                <w:p w:rsidR="00000000" w:rsidRPr="00050521" w:rsidRDefault="00050521" w:rsidP="00050521">
                  <w:pPr>
                    <w:spacing w:beforeLines="1"/>
                    <w:rPr>
                      <w:rFonts w:ascii="Times" w:hAnsi="Times" w:cs="Times New Roman"/>
                      <w:sz w:val="20"/>
                      <w:szCs w:val="20"/>
                      <w:lang w:eastAsia="fr-FR"/>
                    </w:rPr>
                  </w:pPr>
                  <w:r w:rsidRPr="00050521">
                    <w:rPr>
                      <w:rFonts w:ascii="Verdana" w:hAnsi="Verdana" w:cs="Times New Roman"/>
                      <w:color w:val="000000"/>
                      <w:sz w:val="18"/>
                      <w:szCs w:val="18"/>
                      <w:lang w:eastAsia="fr-FR"/>
                    </w:rPr>
                    <w:t xml:space="preserve">Jean-Louis </w:t>
                  </w:r>
                  <w:proofErr w:type="spellStart"/>
                  <w:r w:rsidRPr="00050521">
                    <w:rPr>
                      <w:rFonts w:ascii="Verdana" w:hAnsi="Verdana" w:cs="Times New Roman"/>
                      <w:color w:val="000000"/>
                      <w:sz w:val="18"/>
                      <w:szCs w:val="18"/>
                      <w:lang w:eastAsia="fr-FR"/>
                    </w:rPr>
                    <w:t>Butré</w:t>
                  </w:r>
                  <w:proofErr w:type="spellEnd"/>
                  <w:r w:rsidRPr="00050521">
                    <w:rPr>
                      <w:rFonts w:ascii="Verdana" w:hAnsi="Verdana" w:cs="Times New Roman"/>
                      <w:color w:val="000000"/>
                      <w:sz w:val="18"/>
                      <w:szCs w:val="18"/>
                      <w:lang w:eastAsia="fr-FR"/>
                    </w:rPr>
                    <w:t>       </w:t>
                  </w:r>
                  <w:r w:rsidRPr="00050521">
                    <w:rPr>
                      <w:rFonts w:ascii="Verdana" w:hAnsi="Verdana" w:cs="Times New Roman"/>
                      <w:color w:val="000000"/>
                      <w:sz w:val="18"/>
                      <w:lang w:eastAsia="fr-FR"/>
                    </w:rPr>
                    <w:t> </w:t>
                  </w:r>
                  <w:r w:rsidRPr="00050521">
                    <w:rPr>
                      <w:rFonts w:ascii="Verdana" w:hAnsi="Verdana" w:cs="Times New Roman"/>
                      <w:color w:val="000000"/>
                      <w:sz w:val="18"/>
                      <w:szCs w:val="18"/>
                      <w:lang w:eastAsia="fr-FR"/>
                    </w:rPr>
                    <w:br/>
                  </w:r>
                  <w:r w:rsidRPr="00050521">
                    <w:rPr>
                      <w:rFonts w:ascii="Verdana" w:hAnsi="Verdana" w:cs="Times New Roman"/>
                      <w:color w:val="000000"/>
                      <w:sz w:val="18"/>
                      <w:szCs w:val="18"/>
                      <w:lang w:eastAsia="fr-FR"/>
                    </w:rPr>
                    <w:fldChar w:fldCharType="begin"/>
                  </w:r>
                  <w:r w:rsidRPr="00050521">
                    <w:rPr>
                      <w:rFonts w:ascii="Verdana" w:hAnsi="Verdana" w:cs="Times New Roman"/>
                      <w:color w:val="000000"/>
                      <w:sz w:val="18"/>
                      <w:szCs w:val="18"/>
                      <w:lang w:eastAsia="fr-FR"/>
                    </w:rPr>
                    <w:instrText xml:space="preserve"> HYPERLINK "mailto:contact@environnementdurable.net" \t "_blank" </w:instrText>
                  </w:r>
                  <w:r w:rsidRPr="00050521">
                    <w:rPr>
                      <w:rFonts w:ascii="Verdana" w:hAnsi="Verdana" w:cs="Times New Roman"/>
                      <w:color w:val="000000"/>
                      <w:sz w:val="18"/>
                      <w:szCs w:val="18"/>
                      <w:lang w:eastAsia="fr-FR"/>
                    </w:rPr>
                  </w:r>
                  <w:r w:rsidRPr="00050521">
                    <w:rPr>
                      <w:rFonts w:ascii="Verdana" w:hAnsi="Verdana" w:cs="Times New Roman"/>
                      <w:color w:val="000000"/>
                      <w:sz w:val="18"/>
                      <w:szCs w:val="18"/>
                      <w:lang w:eastAsia="fr-FR"/>
                    </w:rPr>
                    <w:fldChar w:fldCharType="separate"/>
                  </w:r>
                  <w:r w:rsidRPr="00050521">
                    <w:rPr>
                      <w:rFonts w:ascii="Verdana" w:hAnsi="Verdana" w:cs="Times New Roman"/>
                      <w:i/>
                      <w:color w:val="993300"/>
                      <w:sz w:val="18"/>
                      <w:lang w:eastAsia="fr-FR"/>
                    </w:rPr>
                    <w:t>contact@environnementdurable.net</w:t>
                  </w:r>
                  <w:r w:rsidRPr="00050521">
                    <w:rPr>
                      <w:rFonts w:ascii="Verdana" w:hAnsi="Verdana" w:cs="Times New Roman"/>
                      <w:color w:val="000000"/>
                      <w:sz w:val="18"/>
                      <w:szCs w:val="18"/>
                      <w:lang w:eastAsia="fr-FR"/>
                    </w:rPr>
                    <w:fldChar w:fldCharType="end"/>
                  </w:r>
                </w:p>
              </w:tc>
            </w:tr>
          </w:tbl>
          <w:p w:rsidR="00050521" w:rsidRPr="00050521" w:rsidRDefault="00050521" w:rsidP="00050521">
            <w:pPr>
              <w:jc w:val="center"/>
              <w:rPr>
                <w:rFonts w:ascii="-webkit-standard" w:hAnsi="-webkit-standard"/>
                <w:sz w:val="20"/>
                <w:szCs w:val="20"/>
                <w:lang w:eastAsia="fr-FR"/>
              </w:rPr>
            </w:pPr>
          </w:p>
        </w:tc>
      </w:tr>
    </w:tbl>
    <w:p w:rsidR="00AE7097" w:rsidRDefault="00050521"/>
    <w:sectPr w:rsidR="00AE7097" w:rsidSect="003D7A81">
      <w:pgSz w:w="11900" w:h="16840"/>
      <w:pgMar w:top="454" w:right="284" w:bottom="454" w:left="284" w:header="0" w:footer="0"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0521"/>
    <w:rsid w:val="0005052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050521"/>
    <w:pPr>
      <w:spacing w:beforeLines="1" w:afterLines="1"/>
    </w:pPr>
    <w:rPr>
      <w:rFonts w:ascii="Times" w:hAnsi="Times" w:cs="Times New Roman"/>
      <w:sz w:val="20"/>
      <w:szCs w:val="20"/>
      <w:lang w:eastAsia="fr-FR"/>
    </w:rPr>
  </w:style>
  <w:style w:type="character" w:styleId="lev">
    <w:name w:val="Strong"/>
    <w:basedOn w:val="Policepardfaut"/>
    <w:uiPriority w:val="22"/>
    <w:rsid w:val="00050521"/>
    <w:rPr>
      <w:b/>
    </w:rPr>
  </w:style>
  <w:style w:type="character" w:styleId="Lienhypertexte">
    <w:name w:val="Hyperlink"/>
    <w:basedOn w:val="Policepardfaut"/>
    <w:uiPriority w:val="99"/>
    <w:rsid w:val="00050521"/>
    <w:rPr>
      <w:color w:val="0000FF"/>
      <w:u w:val="single"/>
    </w:rPr>
  </w:style>
  <w:style w:type="character" w:customStyle="1" w:styleId="apple-converted-space">
    <w:name w:val="apple-converted-space"/>
    <w:basedOn w:val="Policepardfaut"/>
    <w:rsid w:val="00050521"/>
  </w:style>
</w:styles>
</file>

<file path=word/webSettings.xml><?xml version="1.0" encoding="utf-8"?>
<w:webSettings xmlns:r="http://schemas.openxmlformats.org/officeDocument/2006/relationships" xmlns:w="http://schemas.openxmlformats.org/wordprocessingml/2006/main">
  <w:divs>
    <w:div w:id="28190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eolinfo.net/index.php?option=com_acymailing&amp;ctrl=archive&amp;task=view&amp;mailid=302&amp;tmpl=component&amp;print=1&amp;key=Q02KK4iv&amp;subid=179636-MJJZDjFqLMJ8m3&amp;acm=179636_302" TargetMode="External"/><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2018-03-04T11:01:00Z</dcterms:created>
  <dcterms:modified xsi:type="dcterms:W3CDTF">2018-03-04T11:03:00Z</dcterms:modified>
</cp:coreProperties>
</file>