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0766"/>
      </w:tblGrid>
      <w:tr w:rsidR="00FA0899" w:rsidRPr="00FA0899" w:rsidTr="00FA0899">
        <w:tc>
          <w:tcPr>
            <w:tcW w:w="0" w:type="auto"/>
            <w:tcBorders>
              <w:top w:val="nil"/>
              <w:bottom w:val="nil"/>
            </w:tcBorders>
            <w:shd w:val="clear" w:color="auto" w:fill="FFFFFF"/>
            <w:tcMar>
              <w:top w:w="135" w:type="dxa"/>
              <w:left w:w="0" w:type="dxa"/>
              <w:bottom w:w="0"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766"/>
            </w:tblGrid>
            <w:tr w:rsidR="00FA0899" w:rsidRPr="00FA089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96"/>
                        </w:tblGrid>
                        <w:tr w:rsidR="00FA0899" w:rsidRPr="00FA0899">
                          <w:tc>
                            <w:tcPr>
                              <w:tcW w:w="0" w:type="auto"/>
                              <w:tcMar>
                                <w:top w:w="0" w:type="dxa"/>
                                <w:left w:w="135" w:type="dxa"/>
                                <w:bottom w:w="0" w:type="dxa"/>
                                <w:right w:w="135" w:type="dxa"/>
                              </w:tcMar>
                              <w:hideMark/>
                            </w:tcPr>
                            <w:p w:rsidR="00FA0899" w:rsidRPr="00FA0899" w:rsidRDefault="00FA0899" w:rsidP="00FA0899">
                              <w:pPr>
                                <w:jc w:val="center"/>
                                <w:rPr>
                                  <w:rFonts w:ascii="Times New Roman" w:eastAsia="Times New Roman" w:hAnsi="Times New Roman" w:cs="Times New Roman"/>
                                  <w:lang w:eastAsia="fr-FR"/>
                                </w:rPr>
                              </w:pPr>
                              <w:r w:rsidRPr="00FA0899">
                                <w:rPr>
                                  <w:rFonts w:ascii="Times New Roman" w:eastAsia="Times New Roman" w:hAnsi="Times New Roman" w:cs="Times New Roman"/>
                                  <w:lang w:eastAsia="fr-FR"/>
                                </w:rPr>
                                <w:fldChar w:fldCharType="begin"/>
                              </w:r>
                              <w:r w:rsidRPr="00FA0899">
                                <w:rPr>
                                  <w:rFonts w:ascii="Times New Roman" w:eastAsia="Times New Roman" w:hAnsi="Times New Roman" w:cs="Times New Roman"/>
                                  <w:lang w:eastAsia="fr-FR"/>
                                </w:rPr>
                                <w:instrText xml:space="preserve"> INCLUDEPICTURE "/var/folders/wc/1s7pt8pj04b1v855nl8jx20c0000gn/T/com.microsoft.Word/WebArchiveCopyPasteTempFiles/4694be29-3759-412e-a2f6-182d0aecaaaa.jpg" \* MERGEFORMATINET </w:instrText>
                              </w:r>
                              <w:r w:rsidRPr="00FA0899">
                                <w:rPr>
                                  <w:rFonts w:ascii="Times New Roman" w:eastAsia="Times New Roman" w:hAnsi="Times New Roman" w:cs="Times New Roman"/>
                                  <w:lang w:eastAsia="fr-FR"/>
                                </w:rPr>
                                <w:fldChar w:fldCharType="separate"/>
                              </w:r>
                              <w:r w:rsidRPr="00FA0899">
                                <w:rPr>
                                  <w:rFonts w:ascii="Times New Roman" w:eastAsia="Times New Roman" w:hAnsi="Times New Roman" w:cs="Times New Roman"/>
                                  <w:noProof/>
                                  <w:lang w:eastAsia="fr-FR"/>
                                </w:rPr>
                                <w:drawing>
                                  <wp:inline distT="0" distB="0" distL="0" distR="0">
                                    <wp:extent cx="3673866" cy="1035685"/>
                                    <wp:effectExtent l="0" t="0" r="0" b="5715"/>
                                    <wp:docPr id="9" name="Image 9" descr="/var/folders/wc/1s7pt8pj04b1v855nl8jx20c0000gn/T/com.microsoft.Word/WebArchiveCopyPasteTempFiles/4694be29-3759-412e-a2f6-182d0aec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var/folders/wc/1s7pt8pj04b1v855nl8jx20c0000gn/T/com.microsoft.Word/WebArchiveCopyPasteTempFiles/4694be29-3759-412e-a2f6-182d0aecaaa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9742" cy="1065532"/>
                                            </a:xfrm>
                                            <a:prstGeom prst="rect">
                                              <a:avLst/>
                                            </a:prstGeom>
                                            <a:noFill/>
                                            <a:ln>
                                              <a:noFill/>
                                            </a:ln>
                                          </pic:spPr>
                                        </pic:pic>
                                      </a:graphicData>
                                    </a:graphic>
                                  </wp:inline>
                                </w:drawing>
                              </w:r>
                              <w:r w:rsidRPr="00FA0899">
                                <w:rPr>
                                  <w:rFonts w:ascii="Times New Roman" w:eastAsia="Times New Roman" w:hAnsi="Times New Roman" w:cs="Times New Roman"/>
                                  <w:lang w:eastAsia="fr-FR"/>
                                </w:rPr>
                                <w:fldChar w:fldCharType="end"/>
                              </w:r>
                            </w:p>
                          </w:tc>
                        </w:tr>
                      </w:tbl>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center"/>
              <w:rPr>
                <w:rFonts w:ascii="-webkit-standard" w:eastAsia="Times New Roman" w:hAnsi="-webkit-standard" w:cs="Times New Roman"/>
                <w:color w:val="000000"/>
                <w:lang w:eastAsia="fr-FR"/>
              </w:rPr>
            </w:pPr>
          </w:p>
        </w:tc>
      </w:tr>
      <w:tr w:rsidR="00FA0899" w:rsidRPr="00FA0899" w:rsidTr="00FA0899">
        <w:tc>
          <w:tcPr>
            <w:tcW w:w="0" w:type="auto"/>
            <w:tcBorders>
              <w:top w:val="nil"/>
              <w:bottom w:val="nil"/>
            </w:tcBorders>
            <w:shd w:val="clear" w:color="auto" w:fill="FFFFFF"/>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10766"/>
            </w:tblGrid>
            <w:tr w:rsidR="00FA0899" w:rsidRPr="00FA0899">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tcMar>
                                <w:top w:w="0" w:type="dxa"/>
                                <w:left w:w="270" w:type="dxa"/>
                                <w:bottom w:w="135" w:type="dxa"/>
                                <w:right w:w="270" w:type="dxa"/>
                              </w:tcMar>
                              <w:hideMark/>
                            </w:tcPr>
                            <w:p w:rsidR="00FA0899" w:rsidRPr="00FA0899" w:rsidRDefault="00FA0899" w:rsidP="00FA0899">
                              <w:pPr>
                                <w:spacing w:line="338" w:lineRule="atLeast"/>
                                <w:jc w:val="left"/>
                                <w:outlineLvl w:val="3"/>
                                <w:rPr>
                                  <w:rFonts w:ascii="Helvetica" w:eastAsia="Times New Roman" w:hAnsi="Helvetica" w:cs="Times New Roman"/>
                                  <w:b/>
                                  <w:bCs/>
                                  <w:color w:val="202020"/>
                                  <w:sz w:val="27"/>
                                  <w:szCs w:val="27"/>
                                  <w:lang w:eastAsia="fr-FR"/>
                                </w:rPr>
                              </w:pPr>
                              <w:r w:rsidRPr="00FA0899">
                                <w:rPr>
                                  <w:rFonts w:ascii="Helvetica" w:eastAsia="Times New Roman" w:hAnsi="Helvetica" w:cs="Times New Roman"/>
                                  <w:b/>
                                  <w:bCs/>
                                  <w:color w:val="202020"/>
                                  <w:sz w:val="18"/>
                                  <w:szCs w:val="18"/>
                                  <w:lang w:eastAsia="fr-FR"/>
                                </w:rPr>
                                <w:t>Ce message est édité par le collectif TNE-OE. Il vous est proposé car vous avez croisé notre route.</w:t>
                              </w:r>
                              <w:r w:rsidRPr="00FA0899">
                                <w:rPr>
                                  <w:rFonts w:ascii="Helvetica" w:eastAsia="Times New Roman" w:hAnsi="Helvetica" w:cs="Times New Roman"/>
                                  <w:b/>
                                  <w:bCs/>
                                  <w:color w:val="202020"/>
                                  <w:sz w:val="18"/>
                                  <w:szCs w:val="18"/>
                                  <w:lang w:eastAsia="fr-FR"/>
                                </w:rPr>
                                <w:br/>
                                <w:t>Si vous souhaitez ne plus recevoir de courrier du collectif </w:t>
                              </w:r>
                              <w:proofErr w:type="spellStart"/>
                              <w:r w:rsidRPr="00FA0899">
                                <w:rPr>
                                  <w:rFonts w:ascii="Helvetica" w:eastAsia="Times New Roman" w:hAnsi="Helvetica" w:cs="Times New Roman"/>
                                  <w:b/>
                                  <w:bCs/>
                                  <w:color w:val="202020"/>
                                  <w:sz w:val="18"/>
                                  <w:szCs w:val="18"/>
                                  <w:lang w:eastAsia="fr-FR"/>
                                </w:rPr>
                                <w:t>faites le</w:t>
                              </w:r>
                              <w:proofErr w:type="spellEnd"/>
                              <w:r w:rsidRPr="00FA0899">
                                <w:rPr>
                                  <w:rFonts w:ascii="Helvetica" w:eastAsia="Times New Roman" w:hAnsi="Helvetica" w:cs="Times New Roman"/>
                                  <w:b/>
                                  <w:bCs/>
                                  <w:color w:val="202020"/>
                                  <w:sz w:val="18"/>
                                  <w:szCs w:val="18"/>
                                  <w:lang w:eastAsia="fr-FR"/>
                                </w:rPr>
                                <w:t xml:space="preserve"> nous savoir. </w:t>
                              </w:r>
                            </w:p>
                            <w:p w:rsidR="00FA0899" w:rsidRPr="00FA0899" w:rsidRDefault="00FA0899" w:rsidP="00FA0899">
                              <w:pPr>
                                <w:spacing w:line="338" w:lineRule="atLeast"/>
                                <w:jc w:val="center"/>
                                <w:outlineLvl w:val="3"/>
                                <w:rPr>
                                  <w:rFonts w:ascii="Helvetica" w:eastAsia="Times New Roman" w:hAnsi="Helvetica" w:cs="Times New Roman"/>
                                  <w:b/>
                                  <w:bCs/>
                                  <w:color w:val="202020"/>
                                  <w:sz w:val="27"/>
                                  <w:szCs w:val="27"/>
                                  <w:lang w:eastAsia="fr-FR"/>
                                </w:rPr>
                              </w:pPr>
                              <w:hyperlink r:id="rId6" w:tgtFrame="_blank" w:history="1">
                                <w:r w:rsidRPr="00FA0899">
                                  <w:rPr>
                                    <w:rFonts w:ascii="Helvetica" w:eastAsia="Times New Roman" w:hAnsi="Helvetica" w:cs="Times New Roman"/>
                                    <w:color w:val="007C89"/>
                                    <w:sz w:val="18"/>
                                    <w:szCs w:val="18"/>
                                    <w:u w:val="single"/>
                                    <w:lang w:eastAsia="fr-FR"/>
                                  </w:rPr>
                                  <w:t>contact@toutesnosenergies.fr</w:t>
                                </w:r>
                              </w:hyperlink>
                            </w:p>
                          </w:tc>
                        </w:tr>
                      </w:tbl>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left"/>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tcMar>
                          <w:top w:w="135" w:type="dxa"/>
                          <w:left w:w="270" w:type="dxa"/>
                          <w:bottom w:w="135" w:type="dxa"/>
                          <w:right w:w="270" w:type="dxa"/>
                        </w:tcMar>
                        <w:hideMark/>
                      </w:tcPr>
                      <w:tbl>
                        <w:tblPr>
                          <w:tblpPr w:leftFromText="45" w:rightFromText="45" w:vertAnchor="text" w:tblpXSpec="right" w:tblpYSpec="center"/>
                          <w:tblW w:w="4835" w:type="pct"/>
                          <w:shd w:val="clear" w:color="auto" w:fill="FCF2D2"/>
                          <w:tblCellMar>
                            <w:left w:w="0" w:type="dxa"/>
                            <w:right w:w="0" w:type="dxa"/>
                          </w:tblCellMar>
                          <w:tblLook w:val="04A0" w:firstRow="1" w:lastRow="0" w:firstColumn="1" w:lastColumn="0" w:noHBand="0" w:noVBand="1"/>
                        </w:tblPr>
                        <w:tblGrid>
                          <w:gridCol w:w="9889"/>
                        </w:tblGrid>
                        <w:tr w:rsidR="00FA0899" w:rsidRPr="00FA0899" w:rsidTr="00FA0899">
                          <w:trPr>
                            <w:trHeight w:val="10679"/>
                          </w:trPr>
                          <w:tc>
                            <w:tcPr>
                              <w:tcW w:w="9889" w:type="dxa"/>
                              <w:shd w:val="clear" w:color="auto" w:fill="FCF2D2"/>
                              <w:tcMar>
                                <w:top w:w="270" w:type="dxa"/>
                                <w:left w:w="270" w:type="dxa"/>
                                <w:bottom w:w="0" w:type="dxa"/>
                                <w:right w:w="270" w:type="dxa"/>
                              </w:tcMar>
                              <w:hideMark/>
                            </w:tcPr>
                            <w:p w:rsidR="00FA0899" w:rsidRPr="00FA0899" w:rsidRDefault="00FA0899" w:rsidP="00FA0899">
                              <w:pPr>
                                <w:spacing w:line="263" w:lineRule="atLeast"/>
                                <w:jc w:val="left"/>
                                <w:rPr>
                                  <w:rFonts w:ascii="Helvetica" w:eastAsia="Times New Roman" w:hAnsi="Helvetica" w:cs="Times New Roman"/>
                                  <w:color w:val="131111"/>
                                  <w:sz w:val="20"/>
                                  <w:szCs w:val="20"/>
                                  <w:lang w:eastAsia="fr-FR"/>
                                </w:rPr>
                              </w:pPr>
                              <w:bookmarkStart w:id="0" w:name="_GoBack"/>
                              <w:bookmarkEnd w:id="0"/>
                              <w:r w:rsidRPr="00FA0899">
                                <w:rPr>
                                  <w:rFonts w:ascii="Helvetica" w:eastAsia="Times New Roman" w:hAnsi="Helvetica" w:cs="Times New Roman"/>
                                  <w:color w:val="131111"/>
                                  <w:sz w:val="20"/>
                                  <w:szCs w:val="20"/>
                                  <w:lang w:eastAsia="fr-FR"/>
                                </w:rPr>
                                <w:t xml:space="preserve">Après Macron qui promet de tripler la production éolienne, c’est la Région Occitanie qui lors d’un colloque organisé  par le SER (Syndicat des Énergies Renouvelables) précise ses intentions. Elle est plus ambitieuse que le projet national, il s'agit </w:t>
                              </w:r>
                              <w:proofErr w:type="gramStart"/>
                              <w:r w:rsidRPr="00FA0899">
                                <w:rPr>
                                  <w:rFonts w:ascii="Helvetica" w:eastAsia="Times New Roman" w:hAnsi="Helvetica" w:cs="Times New Roman"/>
                                  <w:color w:val="131111"/>
                                  <w:sz w:val="20"/>
                                  <w:szCs w:val="20"/>
                                  <w:lang w:eastAsia="fr-FR"/>
                                </w:rPr>
                                <w:t>de  multiplier</w:t>
                              </w:r>
                              <w:proofErr w:type="gramEnd"/>
                              <w:r w:rsidRPr="00FA0899">
                                <w:rPr>
                                  <w:rFonts w:ascii="Helvetica" w:eastAsia="Times New Roman" w:hAnsi="Helvetica" w:cs="Times New Roman"/>
                                  <w:color w:val="131111"/>
                                  <w:sz w:val="20"/>
                                  <w:szCs w:val="20"/>
                                  <w:lang w:eastAsia="fr-FR"/>
                                </w:rPr>
                                <w:t xml:space="preserve"> par 12 le photovoltaïque, par 5 l’éolien terrestre ; elle reconnait que pour cette filière, il y a de fortes tensions à surmonter. De nombreuses actions sont à mener : appels dédiés, fonds d’amorçage, motivation des collectivités locales, création d’une agence régionale !!       </w:t>
                              </w:r>
                              <w:r w:rsidRPr="00FA0899">
                                <w:rPr>
                                  <w:rFonts w:ascii="Helvetica" w:eastAsia="Times New Roman" w:hAnsi="Helvetica" w:cs="Times New Roman"/>
                                  <w:color w:val="131111"/>
                                  <w:sz w:val="20"/>
                                  <w:szCs w:val="20"/>
                                  <w:lang w:eastAsia="fr-FR"/>
                                </w:rPr>
                                <w:br/>
                                <w:t xml:space="preserve">Fini les débats autour du scénario REPOS (Région à Énergie Positive), la Région passe en force : densification des centrales éoliennes (le mitage du territoire !) et </w:t>
                              </w:r>
                              <w:proofErr w:type="spellStart"/>
                              <w:r w:rsidRPr="00FA0899">
                                <w:rPr>
                                  <w:rFonts w:ascii="Helvetica" w:eastAsia="Times New Roman" w:hAnsi="Helvetica" w:cs="Times New Roman"/>
                                  <w:color w:val="131111"/>
                                  <w:sz w:val="20"/>
                                  <w:szCs w:val="20"/>
                                  <w:lang w:eastAsia="fr-FR"/>
                                </w:rPr>
                                <w:t>repowering</w:t>
                              </w:r>
                              <w:proofErr w:type="spellEnd"/>
                              <w:r w:rsidRPr="00FA0899">
                                <w:rPr>
                                  <w:rFonts w:ascii="Helvetica" w:eastAsia="Times New Roman" w:hAnsi="Helvetica" w:cs="Times New Roman"/>
                                  <w:color w:val="131111"/>
                                  <w:sz w:val="20"/>
                                  <w:szCs w:val="20"/>
                                  <w:lang w:eastAsia="fr-FR"/>
                                </w:rPr>
                                <w:t xml:space="preserve"> (augmentation de la hauteur et de la puissance des éoliennes).</w:t>
                              </w:r>
                              <w:r w:rsidRPr="00FA0899">
                                <w:rPr>
                                  <w:rFonts w:ascii="Helvetica" w:eastAsia="Times New Roman" w:hAnsi="Helvetica" w:cs="Times New Roman"/>
                                  <w:color w:val="131111"/>
                                  <w:sz w:val="20"/>
                                  <w:szCs w:val="20"/>
                                  <w:lang w:eastAsia="fr-FR"/>
                                </w:rPr>
                                <w:br/>
                              </w:r>
                              <w:r w:rsidRPr="00FA0899">
                                <w:rPr>
                                  <w:rFonts w:ascii="Helvetica" w:eastAsia="Times New Roman" w:hAnsi="Helvetica" w:cs="Times New Roman"/>
                                  <w:color w:val="131111"/>
                                  <w:sz w:val="20"/>
                                  <w:szCs w:val="20"/>
                                  <w:lang w:eastAsia="fr-FR"/>
                                </w:rPr>
                                <w:br/>
                                <w:t xml:space="preserve">Tous nos départements sont (ou vont être) impactés. De l’Aude qui a déjà payé un lourd tribut jusqu’au Lot ou au Gard qui est confronté à plusieurs </w:t>
                              </w:r>
                              <w:proofErr w:type="gramStart"/>
                              <w:r w:rsidRPr="00FA0899">
                                <w:rPr>
                                  <w:rFonts w:ascii="Helvetica" w:eastAsia="Times New Roman" w:hAnsi="Helvetica" w:cs="Times New Roman"/>
                                  <w:color w:val="131111"/>
                                  <w:sz w:val="20"/>
                                  <w:szCs w:val="20"/>
                                  <w:lang w:eastAsia="fr-FR"/>
                                </w:rPr>
                                <w:t>projets..</w:t>
                              </w:r>
                              <w:proofErr w:type="gramEnd"/>
                              <w:r w:rsidRPr="00FA0899">
                                <w:rPr>
                                  <w:rFonts w:ascii="Helvetica" w:eastAsia="Times New Roman" w:hAnsi="Helvetica" w:cs="Times New Roman"/>
                                  <w:color w:val="131111"/>
                                  <w:sz w:val="20"/>
                                  <w:szCs w:val="20"/>
                                  <w:lang w:eastAsia="fr-FR"/>
                                </w:rPr>
                                <w:t xml:space="preserve"> Les menaces se précisent, dans le Tarn et Garonne où Vent à Contre-Courant organise une manifestation le 13 avril ; l’Ariège et la Haute Garonne qui paraissaient épargnées font face à un projet autour de </w:t>
                              </w:r>
                              <w:proofErr w:type="spellStart"/>
                              <w:r w:rsidRPr="00FA0899">
                                <w:rPr>
                                  <w:rFonts w:ascii="Helvetica" w:eastAsia="Times New Roman" w:hAnsi="Helvetica" w:cs="Times New Roman"/>
                                  <w:color w:val="131111"/>
                                  <w:sz w:val="20"/>
                                  <w:szCs w:val="20"/>
                                  <w:lang w:eastAsia="fr-FR"/>
                                </w:rPr>
                                <w:t>Cintagabelle</w:t>
                              </w:r>
                              <w:proofErr w:type="spellEnd"/>
                              <w:r w:rsidRPr="00FA0899">
                                <w:rPr>
                                  <w:rFonts w:ascii="Helvetica" w:eastAsia="Times New Roman" w:hAnsi="Helvetica" w:cs="Times New Roman"/>
                                  <w:color w:val="131111"/>
                                  <w:sz w:val="20"/>
                                  <w:szCs w:val="20"/>
                                  <w:lang w:eastAsia="fr-FR"/>
                                </w:rPr>
                                <w:t> ; sans parler des luttes de longue haleine en Lozère, dans l’Aveyron, l’Hérault, le Tarn… </w:t>
                              </w:r>
                              <w:r w:rsidRPr="00FA0899">
                                <w:rPr>
                                  <w:rFonts w:ascii="Helvetica" w:eastAsia="Times New Roman" w:hAnsi="Helvetica" w:cs="Times New Roman"/>
                                  <w:color w:val="131111"/>
                                  <w:sz w:val="20"/>
                                  <w:szCs w:val="20"/>
                                  <w:lang w:eastAsia="fr-FR"/>
                                </w:rPr>
                                <w:br/>
                                <w:t>Dans les Pyrénées Orientales c’est autour des Aspres et du Canigou que se mènent la bataille : nos amis catalans ont réussi à obtenir du Conseil Départemental une motion demandant un moratoire concernant le développement des centrales éoliennes industrielles.</w:t>
                              </w:r>
                            </w:p>
                            <w:p w:rsidR="00FA0899" w:rsidRPr="00FA0899" w:rsidRDefault="00FA0899" w:rsidP="00FA0899">
                              <w:pPr>
                                <w:spacing w:line="263" w:lineRule="atLeast"/>
                                <w:jc w:val="center"/>
                                <w:rPr>
                                  <w:rFonts w:ascii="Helvetica" w:eastAsia="Times New Roman" w:hAnsi="Helvetica" w:cs="Times New Roman"/>
                                  <w:color w:val="131111"/>
                                  <w:sz w:val="20"/>
                                  <w:szCs w:val="20"/>
                                  <w:lang w:eastAsia="fr-FR"/>
                                </w:rPr>
                              </w:pPr>
                              <w:r w:rsidRPr="00FA0899">
                                <w:rPr>
                                  <w:rFonts w:ascii="Helvetica" w:eastAsia="Times New Roman" w:hAnsi="Helvetica" w:cs="Times New Roman"/>
                                  <w:color w:val="131111"/>
                                  <w:sz w:val="20"/>
                                  <w:szCs w:val="20"/>
                                  <w:lang w:eastAsia="fr-FR"/>
                                </w:rPr>
                                <w:br/>
                              </w:r>
                              <w:r w:rsidRPr="00FA0899">
                                <w:rPr>
                                  <w:rFonts w:ascii="Helvetica" w:eastAsia="Times New Roman" w:hAnsi="Helvetica" w:cs="Times New Roman"/>
                                  <w:b/>
                                  <w:bCs/>
                                  <w:color w:val="131111"/>
                                  <w:sz w:val="20"/>
                                  <w:szCs w:val="20"/>
                                  <w:lang w:eastAsia="fr-FR"/>
                                </w:rPr>
                                <w:t>L’heure est donc à la mobilisation régionale.</w:t>
                              </w:r>
                              <w:r w:rsidRPr="00FA0899">
                                <w:rPr>
                                  <w:rFonts w:ascii="Helvetica" w:eastAsia="Times New Roman" w:hAnsi="Helvetica" w:cs="Times New Roman"/>
                                  <w:color w:val="131111"/>
                                  <w:sz w:val="20"/>
                                  <w:szCs w:val="20"/>
                                  <w:lang w:eastAsia="fr-FR"/>
                                </w:rPr>
                                <w:br/>
                                <w:t> </w:t>
                              </w:r>
                            </w:p>
                            <w:p w:rsidR="00FA0899" w:rsidRPr="00FA0899" w:rsidRDefault="00FA0899" w:rsidP="00FA0899">
                              <w:pPr>
                                <w:spacing w:line="263" w:lineRule="atLeast"/>
                                <w:jc w:val="left"/>
                                <w:rPr>
                                  <w:rFonts w:ascii="Helvetica" w:eastAsia="Times New Roman" w:hAnsi="Helvetica" w:cs="Times New Roman"/>
                                  <w:color w:val="131111"/>
                                  <w:sz w:val="20"/>
                                  <w:szCs w:val="20"/>
                                  <w:lang w:eastAsia="fr-FR"/>
                                </w:rPr>
                              </w:pPr>
                              <w:r w:rsidRPr="00FA0899">
                                <w:rPr>
                                  <w:rFonts w:ascii="Helvetica" w:eastAsia="Times New Roman" w:hAnsi="Helvetica" w:cs="Times New Roman"/>
                                  <w:color w:val="131111"/>
                                  <w:sz w:val="20"/>
                                  <w:szCs w:val="20"/>
                                  <w:lang w:eastAsia="fr-FR"/>
                                </w:rPr>
                                <w:t xml:space="preserve">Lors de notre dernière rencontre le collectif s’est prononcé pour le principe d’une manifestation régionale à Perpignan. Les membres du collectif le Vent Tourne 66 – en collaboration avec les </w:t>
                              </w:r>
                              <w:proofErr w:type="spellStart"/>
                              <w:r w:rsidRPr="00FA0899">
                                <w:rPr>
                                  <w:rFonts w:ascii="Helvetica" w:eastAsia="Times New Roman" w:hAnsi="Helvetica" w:cs="Times New Roman"/>
                                  <w:color w:val="131111"/>
                                  <w:sz w:val="20"/>
                                  <w:szCs w:val="20"/>
                                  <w:lang w:eastAsia="fr-FR"/>
                                </w:rPr>
                                <w:t>co</w:t>
                              </w:r>
                              <w:proofErr w:type="spellEnd"/>
                              <w:r w:rsidRPr="00FA0899">
                                <w:rPr>
                                  <w:rFonts w:ascii="Helvetica" w:eastAsia="Times New Roman" w:hAnsi="Helvetica" w:cs="Times New Roman"/>
                                  <w:color w:val="131111"/>
                                  <w:sz w:val="20"/>
                                  <w:szCs w:val="20"/>
                                  <w:lang w:eastAsia="fr-FR"/>
                                </w:rPr>
                                <w:t>-secrétaires – en précisent aujourd’hui les modalités.</w:t>
                              </w:r>
                            </w:p>
                            <w:p w:rsidR="00FA0899" w:rsidRPr="00FA0899" w:rsidRDefault="00FA0899" w:rsidP="00FA0899">
                              <w:pPr>
                                <w:spacing w:line="263" w:lineRule="atLeast"/>
                                <w:jc w:val="center"/>
                                <w:rPr>
                                  <w:rFonts w:ascii="Helvetica" w:eastAsia="Times New Roman" w:hAnsi="Helvetica" w:cs="Times New Roman"/>
                                  <w:color w:val="131111"/>
                                  <w:sz w:val="20"/>
                                  <w:szCs w:val="20"/>
                                  <w:lang w:eastAsia="fr-FR"/>
                                </w:rPr>
                              </w:pPr>
                              <w:r w:rsidRPr="00FA0899">
                                <w:rPr>
                                  <w:rFonts w:ascii="Helvetica" w:eastAsia="Times New Roman" w:hAnsi="Helvetica" w:cs="Times New Roman"/>
                                  <w:color w:val="131111"/>
                                  <w:sz w:val="20"/>
                                  <w:szCs w:val="20"/>
                                  <w:lang w:eastAsia="fr-FR"/>
                                </w:rPr>
                                <w:br/>
                              </w:r>
                              <w:r w:rsidRPr="00FA0899">
                                <w:rPr>
                                  <w:rFonts w:ascii="Helvetica" w:eastAsia="Times New Roman" w:hAnsi="Helvetica" w:cs="Times New Roman"/>
                                  <w:b/>
                                  <w:bCs/>
                                  <w:color w:val="131111"/>
                                  <w:sz w:val="20"/>
                                  <w:szCs w:val="20"/>
                                  <w:lang w:eastAsia="fr-FR"/>
                                </w:rPr>
                                <w:t>La manifestation aura lieu à Perpignan, le Samedi 4 mai à partir de 14h00.</w:t>
                              </w:r>
                            </w:p>
                            <w:p w:rsidR="00FA0899" w:rsidRPr="00FA0899" w:rsidRDefault="00FA0899" w:rsidP="00FA0899">
                              <w:pPr>
                                <w:spacing w:line="263" w:lineRule="atLeast"/>
                                <w:jc w:val="center"/>
                                <w:rPr>
                                  <w:rFonts w:ascii="Helvetica" w:eastAsia="Times New Roman" w:hAnsi="Helvetica" w:cs="Times New Roman"/>
                                  <w:color w:val="131111"/>
                                  <w:sz w:val="20"/>
                                  <w:szCs w:val="20"/>
                                  <w:lang w:eastAsia="fr-FR"/>
                                </w:rPr>
                              </w:pPr>
                              <w:r w:rsidRPr="00FA0899">
                                <w:rPr>
                                  <w:rFonts w:ascii="Helvetica" w:eastAsia="Times New Roman" w:hAnsi="Helvetica" w:cs="Times New Roman"/>
                                  <w:b/>
                                  <w:bCs/>
                                  <w:color w:val="131111"/>
                                  <w:sz w:val="20"/>
                                  <w:szCs w:val="20"/>
                                  <w:lang w:eastAsia="fr-FR"/>
                                </w:rPr>
                                <w:t>Elle se déroulera en deux temps</w:t>
                              </w:r>
                              <w:r w:rsidRPr="00FA0899">
                                <w:rPr>
                                  <w:rFonts w:ascii="Helvetica" w:eastAsia="Times New Roman" w:hAnsi="Helvetica" w:cs="Times New Roman"/>
                                  <w:color w:val="131111"/>
                                  <w:sz w:val="20"/>
                                  <w:szCs w:val="20"/>
                                  <w:lang w:eastAsia="fr-FR"/>
                                </w:rPr>
                                <w:t> :</w:t>
                              </w:r>
                            </w:p>
                            <w:p w:rsidR="00FA0899" w:rsidRPr="00FA0899" w:rsidRDefault="00FA0899" w:rsidP="00FA0899">
                              <w:pPr>
                                <w:numPr>
                                  <w:ilvl w:val="0"/>
                                  <w:numId w:val="2"/>
                                </w:numPr>
                                <w:spacing w:before="100" w:beforeAutospacing="1" w:after="100" w:afterAutospacing="1" w:line="263" w:lineRule="atLeast"/>
                                <w:jc w:val="left"/>
                                <w:rPr>
                                  <w:rFonts w:ascii="Helvetica" w:eastAsia="Times New Roman" w:hAnsi="Helvetica" w:cs="Times New Roman"/>
                                  <w:color w:val="131111"/>
                                  <w:sz w:val="20"/>
                                  <w:szCs w:val="20"/>
                                  <w:lang w:eastAsia="fr-FR"/>
                                </w:rPr>
                              </w:pPr>
                              <w:r w:rsidRPr="00FA0899">
                                <w:rPr>
                                  <w:rFonts w:ascii="Helvetica" w:eastAsia="Times New Roman" w:hAnsi="Helvetica" w:cs="Times New Roman"/>
                                  <w:color w:val="131111"/>
                                  <w:sz w:val="20"/>
                                  <w:szCs w:val="20"/>
                                  <w:lang w:eastAsia="fr-FR"/>
                                </w:rPr>
                                <w:t xml:space="preserve">Une première partie : débat public de 14h00 à 16h30 dans la salle des Libertés, rue cité </w:t>
                              </w:r>
                              <w:proofErr w:type="spellStart"/>
                              <w:r w:rsidRPr="00FA0899">
                                <w:rPr>
                                  <w:rFonts w:ascii="Helvetica" w:eastAsia="Times New Roman" w:hAnsi="Helvetica" w:cs="Times New Roman"/>
                                  <w:color w:val="131111"/>
                                  <w:sz w:val="20"/>
                                  <w:szCs w:val="20"/>
                                  <w:lang w:eastAsia="fr-FR"/>
                                </w:rPr>
                                <w:t>Bartissol</w:t>
                              </w:r>
                              <w:proofErr w:type="spellEnd"/>
                              <w:r w:rsidRPr="00FA0899">
                                <w:rPr>
                                  <w:rFonts w:ascii="Helvetica" w:eastAsia="Times New Roman" w:hAnsi="Helvetica" w:cs="Times New Roman"/>
                                  <w:color w:val="131111"/>
                                  <w:sz w:val="20"/>
                                  <w:szCs w:val="20"/>
                                  <w:lang w:eastAsia="fr-FR"/>
                                </w:rPr>
                                <w:t>. Prises de parole, vote d’une motion pour le Préfet, le Préfet de Région et le Conseil Régional. (Elle sera envoyée à tous les préfets de la Région, aux élus, au CESER).</w:t>
                              </w:r>
                            </w:p>
                            <w:p w:rsidR="00FA0899" w:rsidRPr="00FA0899" w:rsidRDefault="00FA0899" w:rsidP="00FA0899">
                              <w:pPr>
                                <w:numPr>
                                  <w:ilvl w:val="0"/>
                                  <w:numId w:val="2"/>
                                </w:numPr>
                                <w:spacing w:before="100" w:beforeAutospacing="1" w:after="100" w:afterAutospacing="1" w:line="263" w:lineRule="atLeast"/>
                                <w:jc w:val="left"/>
                                <w:rPr>
                                  <w:rFonts w:ascii="Helvetica" w:eastAsia="Times New Roman" w:hAnsi="Helvetica" w:cs="Times New Roman"/>
                                  <w:color w:val="131111"/>
                                  <w:sz w:val="20"/>
                                  <w:szCs w:val="20"/>
                                  <w:lang w:eastAsia="fr-FR"/>
                                </w:rPr>
                              </w:pPr>
                              <w:r w:rsidRPr="00FA0899">
                                <w:rPr>
                                  <w:rFonts w:ascii="Helvetica" w:eastAsia="Times New Roman" w:hAnsi="Helvetica" w:cs="Times New Roman"/>
                                  <w:color w:val="131111"/>
                                  <w:sz w:val="20"/>
                                  <w:szCs w:val="20"/>
                                  <w:lang w:eastAsia="fr-FR"/>
                                </w:rPr>
                                <w:t>Puis départ en cortège à 16h30 vers la Préfecture, rassemblement et prises de parole pendant que la délégation est reçue. Cette délégation portera les demandes de l’ensemble des associations et collectifs régionaux.</w:t>
                              </w:r>
                            </w:p>
                            <w:p w:rsidR="00FA0899" w:rsidRPr="00FA0899" w:rsidRDefault="00FA0899" w:rsidP="00FA0899">
                              <w:pPr>
                                <w:spacing w:line="263" w:lineRule="atLeast"/>
                                <w:jc w:val="left"/>
                                <w:rPr>
                                  <w:rFonts w:ascii="Helvetica" w:eastAsia="Times New Roman" w:hAnsi="Helvetica" w:cs="Times New Roman"/>
                                  <w:color w:val="131111"/>
                                  <w:sz w:val="20"/>
                                  <w:szCs w:val="20"/>
                                  <w:lang w:eastAsia="fr-FR"/>
                                </w:rPr>
                              </w:pPr>
                              <w:r w:rsidRPr="00FA0899">
                                <w:rPr>
                                  <w:rFonts w:ascii="Helvetica" w:eastAsia="Times New Roman" w:hAnsi="Helvetica" w:cs="Times New Roman"/>
                                  <w:color w:val="131111"/>
                                  <w:sz w:val="20"/>
                                  <w:szCs w:val="20"/>
                                  <w:lang w:eastAsia="fr-FR"/>
                                </w:rPr>
                                <w:t>L’objectif est de réussir une vraie démonstration de force et d’avoir des prises de parole, panneaux ou banderoles de tous les départements de la région. Cela renforcera notre capacité à dialoguer avec les autorités publiques et la direction de la Région.</w:t>
                              </w:r>
                              <w:r w:rsidRPr="00FA0899">
                                <w:rPr>
                                  <w:rFonts w:ascii="Helvetica" w:eastAsia="Times New Roman" w:hAnsi="Helvetica" w:cs="Times New Roman"/>
                                  <w:color w:val="131111"/>
                                  <w:sz w:val="20"/>
                                  <w:szCs w:val="20"/>
                                  <w:lang w:eastAsia="fr-FR"/>
                                </w:rPr>
                                <w:br/>
                              </w:r>
                              <w:r w:rsidRPr="00FA0899">
                                <w:rPr>
                                  <w:rFonts w:ascii="Helvetica" w:eastAsia="Times New Roman" w:hAnsi="Helvetica" w:cs="Times New Roman"/>
                                  <w:color w:val="131111"/>
                                  <w:sz w:val="20"/>
                                  <w:szCs w:val="20"/>
                                  <w:lang w:eastAsia="fr-FR"/>
                                </w:rPr>
                                <w:br/>
                              </w:r>
                              <w:r w:rsidRPr="00FA0899">
                                <w:rPr>
                                  <w:rFonts w:ascii="Helvetica" w:eastAsia="Times New Roman" w:hAnsi="Helvetica" w:cs="Times New Roman"/>
                                  <w:b/>
                                  <w:bCs/>
                                  <w:color w:val="131111"/>
                                  <w:sz w:val="20"/>
                                  <w:szCs w:val="20"/>
                                  <w:lang w:eastAsia="fr-FR"/>
                                </w:rPr>
                                <w:t>Nous ferons le point – régulièrement – de la préparation de cette manifestation.</w:t>
                              </w:r>
                              <w:r w:rsidRPr="00FA0899">
                                <w:rPr>
                                  <w:rFonts w:ascii="Helvetica" w:eastAsia="Times New Roman" w:hAnsi="Helvetica" w:cs="Times New Roman"/>
                                  <w:color w:val="131111"/>
                                  <w:sz w:val="20"/>
                                  <w:szCs w:val="20"/>
                                  <w:lang w:eastAsia="fr-FR"/>
                                </w:rPr>
                                <w:br/>
                                <w:t>Un texte d’affiche a été rédigé, envoyé à toutes les associations, à charge de le diffuser sous toutes les formes possibles – A4, A3, flyer… Voici un aperçu de la maquette : </w:t>
                              </w:r>
                            </w:p>
                          </w:tc>
                        </w:tr>
                        <w:tr w:rsidR="00FA0899" w:rsidRPr="00FA0899" w:rsidTr="00FA0899">
                          <w:trPr>
                            <w:trHeight w:val="6625"/>
                          </w:trPr>
                          <w:tc>
                            <w:tcPr>
                              <w:tcW w:w="0" w:type="auto"/>
                              <w:shd w:val="clear" w:color="auto" w:fill="FCF2D2"/>
                              <w:tcMar>
                                <w:top w:w="135" w:type="dxa"/>
                                <w:left w:w="0" w:type="dxa"/>
                                <w:bottom w:w="0" w:type="dxa"/>
                                <w:right w:w="0" w:type="dxa"/>
                              </w:tcMar>
                              <w:hideMark/>
                            </w:tcPr>
                            <w:p w:rsidR="00FA0899" w:rsidRPr="00FA0899" w:rsidRDefault="00FA0899" w:rsidP="00FA0899">
                              <w:pPr>
                                <w:jc w:val="left"/>
                                <w:rPr>
                                  <w:rFonts w:ascii="Times New Roman" w:eastAsia="Times New Roman" w:hAnsi="Times New Roman" w:cs="Times New Roman"/>
                                  <w:sz w:val="18"/>
                                  <w:szCs w:val="18"/>
                                  <w:lang w:eastAsia="fr-FR"/>
                                </w:rPr>
                              </w:pPr>
                              <w:r w:rsidRPr="00FA0899">
                                <w:rPr>
                                  <w:rFonts w:ascii="Times New Roman" w:eastAsia="Times New Roman" w:hAnsi="Times New Roman" w:cs="Times New Roman"/>
                                  <w:sz w:val="18"/>
                                  <w:szCs w:val="18"/>
                                  <w:lang w:eastAsia="fr-FR"/>
                                </w:rPr>
                                <w:lastRenderedPageBreak/>
                                <w:fldChar w:fldCharType="begin"/>
                              </w:r>
                              <w:r w:rsidRPr="00FA0899">
                                <w:rPr>
                                  <w:rFonts w:ascii="Times New Roman" w:eastAsia="Times New Roman" w:hAnsi="Times New Roman" w:cs="Times New Roman"/>
                                  <w:sz w:val="18"/>
                                  <w:szCs w:val="18"/>
                                  <w:lang w:eastAsia="fr-FR"/>
                                </w:rPr>
                                <w:instrText xml:space="preserve"> INCLUDEPICTURE "/var/folders/wc/1s7pt8pj04b1v855nl8jx20c0000gn/T/com.microsoft.Word/WebArchiveCopyPasteTempFiles/81bc5e58-e295-4045-9fa1-1930822bf191.jpg" \* MERGEFORMATINET </w:instrText>
                              </w:r>
                              <w:r w:rsidRPr="00FA0899">
                                <w:rPr>
                                  <w:rFonts w:ascii="Times New Roman" w:eastAsia="Times New Roman" w:hAnsi="Times New Roman" w:cs="Times New Roman"/>
                                  <w:sz w:val="18"/>
                                  <w:szCs w:val="18"/>
                                  <w:lang w:eastAsia="fr-FR"/>
                                </w:rPr>
                                <w:fldChar w:fldCharType="separate"/>
                              </w:r>
                              <w:r w:rsidRPr="00FA0899">
                                <w:rPr>
                                  <w:rFonts w:ascii="Times New Roman" w:eastAsia="Times New Roman" w:hAnsi="Times New Roman" w:cs="Times New Roman"/>
                                  <w:noProof/>
                                  <w:sz w:val="18"/>
                                  <w:szCs w:val="18"/>
                                  <w:lang w:eastAsia="fr-FR"/>
                                </w:rPr>
                                <w:drawing>
                                  <wp:inline distT="0" distB="0" distL="0" distR="0">
                                    <wp:extent cx="6096000" cy="4253496"/>
                                    <wp:effectExtent l="0" t="0" r="0" b="1270"/>
                                    <wp:docPr id="8" name="Image 8" descr="/var/folders/wc/1s7pt8pj04b1v855nl8jx20c0000gn/T/com.microsoft.Word/WebArchiveCopyPasteTempFiles/81bc5e58-e295-4045-9fa1-1930822bf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ar/folders/wc/1s7pt8pj04b1v855nl8jx20c0000gn/T/com.microsoft.Word/WebArchiveCopyPasteTempFiles/81bc5e58-e295-4045-9fa1-1930822bf19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0338" cy="4270478"/>
                                            </a:xfrm>
                                            <a:prstGeom prst="rect">
                                              <a:avLst/>
                                            </a:prstGeom>
                                            <a:noFill/>
                                            <a:ln>
                                              <a:noFill/>
                                            </a:ln>
                                          </pic:spPr>
                                        </pic:pic>
                                      </a:graphicData>
                                    </a:graphic>
                                  </wp:inline>
                                </w:drawing>
                              </w:r>
                              <w:r w:rsidRPr="00FA0899">
                                <w:rPr>
                                  <w:rFonts w:ascii="Times New Roman" w:eastAsia="Times New Roman" w:hAnsi="Times New Roman" w:cs="Times New Roman"/>
                                  <w:sz w:val="18"/>
                                  <w:szCs w:val="18"/>
                                  <w:lang w:eastAsia="fr-FR"/>
                                </w:rPr>
                                <w:fldChar w:fldCharType="end"/>
                              </w:r>
                            </w:p>
                          </w:tc>
                        </w:tr>
                      </w:tbl>
                      <w:p w:rsidR="00FA0899" w:rsidRPr="00FA0899" w:rsidRDefault="00FA0899" w:rsidP="00FA0899">
                        <w:pPr>
                          <w:jc w:val="left"/>
                          <w:rPr>
                            <w:rFonts w:ascii="Times New Roman" w:eastAsia="Times New Roman" w:hAnsi="Times New Roman" w:cs="Times New Roman"/>
                            <w:sz w:val="18"/>
                            <w:szCs w:val="18"/>
                            <w:lang w:eastAsia="fr-FR"/>
                          </w:rPr>
                        </w:pPr>
                      </w:p>
                    </w:tc>
                  </w:tr>
                </w:tbl>
                <w:p w:rsidR="00FA0899" w:rsidRPr="00FA0899" w:rsidRDefault="00FA0899" w:rsidP="00FA0899">
                  <w:pPr>
                    <w:jc w:val="left"/>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496"/>
                        </w:tblGrid>
                        <w:tr w:rsidR="00FA0899" w:rsidRPr="00FA0899">
                          <w:tc>
                            <w:tcPr>
                              <w:tcW w:w="0" w:type="auto"/>
                              <w:tcMar>
                                <w:top w:w="0" w:type="dxa"/>
                                <w:left w:w="135" w:type="dxa"/>
                                <w:bottom w:w="0" w:type="dxa"/>
                                <w:right w:w="135" w:type="dxa"/>
                              </w:tcMar>
                              <w:hideMark/>
                            </w:tcPr>
                            <w:p w:rsidR="00FA0899" w:rsidRPr="00FA0899" w:rsidRDefault="00FA0899" w:rsidP="00FA0899">
                              <w:pPr>
                                <w:jc w:val="center"/>
                                <w:rPr>
                                  <w:rFonts w:ascii="Times New Roman" w:eastAsia="Times New Roman" w:hAnsi="Times New Roman" w:cs="Times New Roman"/>
                                  <w:lang w:eastAsia="fr-FR"/>
                                </w:rPr>
                              </w:pPr>
                              <w:r w:rsidRPr="00FA0899">
                                <w:rPr>
                                  <w:rFonts w:ascii="Times New Roman" w:eastAsia="Times New Roman" w:hAnsi="Times New Roman" w:cs="Times New Roman"/>
                                  <w:lang w:eastAsia="fr-FR"/>
                                </w:rPr>
                                <w:fldChar w:fldCharType="begin"/>
                              </w:r>
                              <w:r w:rsidRPr="00FA0899">
                                <w:rPr>
                                  <w:rFonts w:ascii="Times New Roman" w:eastAsia="Times New Roman" w:hAnsi="Times New Roman" w:cs="Times New Roman"/>
                                  <w:lang w:eastAsia="fr-FR"/>
                                </w:rPr>
                                <w:instrText xml:space="preserve"> INCLUDEPICTURE "/var/folders/wc/1s7pt8pj04b1v855nl8jx20c0000gn/T/com.microsoft.Word/WebArchiveCopyPasteTempFiles/9f58817a-8743-4d39-9754-aba6a772c60d.jpg" \* MERGEFORMATINET </w:instrText>
                              </w:r>
                              <w:r w:rsidRPr="00FA0899">
                                <w:rPr>
                                  <w:rFonts w:ascii="Times New Roman" w:eastAsia="Times New Roman" w:hAnsi="Times New Roman" w:cs="Times New Roman"/>
                                  <w:lang w:eastAsia="fr-FR"/>
                                </w:rPr>
                                <w:fldChar w:fldCharType="separate"/>
                              </w:r>
                              <w:r w:rsidRPr="00FA0899">
                                <w:rPr>
                                  <w:rFonts w:ascii="Times New Roman" w:eastAsia="Times New Roman" w:hAnsi="Times New Roman" w:cs="Times New Roman"/>
                                  <w:noProof/>
                                  <w:lang w:eastAsia="fr-FR"/>
                                </w:rPr>
                                <w:drawing>
                                  <wp:inline distT="0" distB="0" distL="0" distR="0">
                                    <wp:extent cx="6164196" cy="4623435"/>
                                    <wp:effectExtent l="0" t="0" r="0" b="0"/>
                                    <wp:docPr id="7" name="Image 7" descr="/var/folders/wc/1s7pt8pj04b1v855nl8jx20c0000gn/T/com.microsoft.Word/WebArchiveCopyPasteTempFiles/9f58817a-8743-4d39-9754-aba6a772c60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ar/folders/wc/1s7pt8pj04b1v855nl8jx20c0000gn/T/com.microsoft.Word/WebArchiveCopyPasteTempFiles/9f58817a-8743-4d39-9754-aba6a772c60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1474" cy="4681397"/>
                                            </a:xfrm>
                                            <a:prstGeom prst="rect">
                                              <a:avLst/>
                                            </a:prstGeom>
                                            <a:noFill/>
                                            <a:ln>
                                              <a:noFill/>
                                            </a:ln>
                                          </pic:spPr>
                                        </pic:pic>
                                      </a:graphicData>
                                    </a:graphic>
                                  </wp:inline>
                                </w:drawing>
                              </w:r>
                              <w:r w:rsidRPr="00FA0899">
                                <w:rPr>
                                  <w:rFonts w:ascii="Times New Roman" w:eastAsia="Times New Roman" w:hAnsi="Times New Roman" w:cs="Times New Roman"/>
                                  <w:lang w:eastAsia="fr-FR"/>
                                </w:rPr>
                                <w:fldChar w:fldCharType="end"/>
                              </w:r>
                            </w:p>
                          </w:tc>
                        </w:tr>
                      </w:tbl>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left"/>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tcMar>
                                <w:top w:w="135" w:type="dxa"/>
                                <w:left w:w="270" w:type="dxa"/>
                                <w:bottom w:w="135" w:type="dxa"/>
                                <w:right w:w="270" w:type="dxa"/>
                              </w:tcMar>
                              <w:vAlign w:val="center"/>
                              <w:hideMark/>
                            </w:tcPr>
                            <w:tbl>
                              <w:tblPr>
                                <w:tblW w:w="4866" w:type="pct"/>
                                <w:tblBorders>
                                  <w:top w:val="threeDEmboss" w:sz="6" w:space="0" w:color="auto"/>
                                  <w:left w:val="threeDEmboss" w:sz="6" w:space="0" w:color="auto"/>
                                  <w:bottom w:val="threeDEmboss" w:sz="6" w:space="0" w:color="auto"/>
                                  <w:right w:val="threeDEmboss" w:sz="6" w:space="0" w:color="auto"/>
                                </w:tblBorders>
                                <w:shd w:val="clear" w:color="auto" w:fill="ECD0EC"/>
                                <w:tblCellMar>
                                  <w:top w:w="15" w:type="dxa"/>
                                  <w:left w:w="15" w:type="dxa"/>
                                  <w:bottom w:w="15" w:type="dxa"/>
                                  <w:right w:w="15" w:type="dxa"/>
                                </w:tblCellMar>
                                <w:tblLook w:val="04A0" w:firstRow="1" w:lastRow="0" w:firstColumn="1" w:lastColumn="0" w:noHBand="0" w:noVBand="1"/>
                              </w:tblPr>
                              <w:tblGrid>
                                <w:gridCol w:w="9907"/>
                              </w:tblGrid>
                              <w:tr w:rsidR="00FA0899" w:rsidRPr="00FA0899" w:rsidTr="00FA0899">
                                <w:trPr>
                                  <w:trHeight w:val="6372"/>
                                </w:trPr>
                                <w:tc>
                                  <w:tcPr>
                                    <w:tcW w:w="5000" w:type="pct"/>
                                    <w:shd w:val="clear" w:color="auto" w:fill="ECD0EC"/>
                                    <w:tcMar>
                                      <w:top w:w="270" w:type="dxa"/>
                                      <w:left w:w="270" w:type="dxa"/>
                                      <w:bottom w:w="270" w:type="dxa"/>
                                      <w:right w:w="270" w:type="dxa"/>
                                    </w:tcMar>
                                    <w:hideMark/>
                                  </w:tcPr>
                                  <w:p w:rsidR="00FA0899" w:rsidRPr="00FA0899" w:rsidRDefault="00FA0899" w:rsidP="00FA0899">
                                    <w:pPr>
                                      <w:spacing w:line="263" w:lineRule="atLeast"/>
                                      <w:jc w:val="left"/>
                                      <w:rPr>
                                        <w:rFonts w:ascii="Helvetica" w:eastAsia="Times New Roman" w:hAnsi="Helvetica" w:cs="Times New Roman"/>
                                        <w:color w:val="444D5C"/>
                                        <w:sz w:val="20"/>
                                        <w:szCs w:val="20"/>
                                        <w:lang w:eastAsia="fr-FR"/>
                                      </w:rPr>
                                    </w:pPr>
                                    <w:r w:rsidRPr="00FA0899">
                                      <w:rPr>
                                        <w:rFonts w:ascii="Helvetica" w:eastAsia="Times New Roman" w:hAnsi="Helvetica" w:cs="Times New Roman"/>
                                        <w:color w:val="444D5C"/>
                                        <w:sz w:val="20"/>
                                        <w:szCs w:val="20"/>
                                        <w:lang w:eastAsia="fr-FR"/>
                                      </w:rPr>
                                      <w:lastRenderedPageBreak/>
                                      <w:t>L’association de Corrèze AAPLX (</w:t>
                                    </w:r>
                                    <w:hyperlink r:id="rId9" w:history="1">
                                      <w:r w:rsidRPr="00FA0899">
                                        <w:rPr>
                                          <w:rFonts w:ascii="Helvetica" w:eastAsia="Times New Roman" w:hAnsi="Helvetica" w:cs="Times New Roman"/>
                                          <w:color w:val="007C89"/>
                                          <w:sz w:val="20"/>
                                          <w:szCs w:val="20"/>
                                          <w:u w:val="single"/>
                                          <w:lang w:eastAsia="fr-FR"/>
                                        </w:rPr>
                                        <w:t xml:space="preserve">Agir Autrement Pour La </w:t>
                                      </w:r>
                                      <w:proofErr w:type="spellStart"/>
                                      <w:r w:rsidRPr="00FA0899">
                                        <w:rPr>
                                          <w:rFonts w:ascii="Helvetica" w:eastAsia="Times New Roman" w:hAnsi="Helvetica" w:cs="Times New Roman"/>
                                          <w:color w:val="007C89"/>
                                          <w:sz w:val="20"/>
                                          <w:szCs w:val="20"/>
                                          <w:u w:val="single"/>
                                          <w:lang w:eastAsia="fr-FR"/>
                                        </w:rPr>
                                        <w:t>Xaintrie</w:t>
                                      </w:r>
                                      <w:proofErr w:type="spellEnd"/>
                                    </w:hyperlink>
                                    <w:r w:rsidRPr="00FA0899">
                                      <w:rPr>
                                        <w:rFonts w:ascii="Helvetica" w:eastAsia="Times New Roman" w:hAnsi="Helvetica" w:cs="Times New Roman"/>
                                        <w:color w:val="444D5C"/>
                                        <w:sz w:val="20"/>
                                        <w:szCs w:val="20"/>
                                        <w:lang w:eastAsia="fr-FR"/>
                                      </w:rPr>
                                      <w:t xml:space="preserve">) nous informe que la commission d’enquête publique du parc éolien dit « du </w:t>
                                    </w:r>
                                    <w:proofErr w:type="spellStart"/>
                                    <w:r w:rsidRPr="00FA0899">
                                      <w:rPr>
                                        <w:rFonts w:ascii="Helvetica" w:eastAsia="Times New Roman" w:hAnsi="Helvetica" w:cs="Times New Roman"/>
                                        <w:color w:val="444D5C"/>
                                        <w:sz w:val="20"/>
                                        <w:szCs w:val="20"/>
                                        <w:lang w:eastAsia="fr-FR"/>
                                      </w:rPr>
                                      <w:t>Deyroux</w:t>
                                    </w:r>
                                    <w:proofErr w:type="spellEnd"/>
                                    <w:r w:rsidRPr="00FA0899">
                                      <w:rPr>
                                        <w:rFonts w:ascii="Helvetica" w:eastAsia="Times New Roman" w:hAnsi="Helvetica" w:cs="Times New Roman"/>
                                        <w:color w:val="444D5C"/>
                                        <w:sz w:val="20"/>
                                        <w:szCs w:val="20"/>
                                        <w:lang w:eastAsia="fr-FR"/>
                                      </w:rPr>
                                      <w:t> », sur les communes de Camps-</w:t>
                                    </w:r>
                                    <w:proofErr w:type="spellStart"/>
                                    <w:r w:rsidRPr="00FA0899">
                                      <w:rPr>
                                        <w:rFonts w:ascii="Helvetica" w:eastAsia="Times New Roman" w:hAnsi="Helvetica" w:cs="Times New Roman"/>
                                        <w:color w:val="444D5C"/>
                                        <w:sz w:val="20"/>
                                        <w:szCs w:val="20"/>
                                        <w:lang w:eastAsia="fr-FR"/>
                                      </w:rPr>
                                      <w:t>Merœur</w:t>
                                    </w:r>
                                    <w:proofErr w:type="spellEnd"/>
                                    <w:r w:rsidRPr="00FA0899">
                                      <w:rPr>
                                        <w:rFonts w:ascii="Helvetica" w:eastAsia="Times New Roman" w:hAnsi="Helvetica" w:cs="Times New Roman"/>
                                        <w:color w:val="444D5C"/>
                                        <w:sz w:val="20"/>
                                        <w:szCs w:val="20"/>
                                        <w:lang w:eastAsia="fr-FR"/>
                                      </w:rPr>
                                      <w:t>-</w:t>
                                    </w:r>
                                    <w:proofErr w:type="spellStart"/>
                                    <w:r w:rsidRPr="00FA0899">
                                      <w:rPr>
                                        <w:rFonts w:ascii="Helvetica" w:eastAsia="Times New Roman" w:hAnsi="Helvetica" w:cs="Times New Roman"/>
                                        <w:color w:val="444D5C"/>
                                        <w:sz w:val="20"/>
                                        <w:szCs w:val="20"/>
                                        <w:lang w:eastAsia="fr-FR"/>
                                      </w:rPr>
                                      <w:t>Sexcles</w:t>
                                    </w:r>
                                    <w:proofErr w:type="spellEnd"/>
                                    <w:r w:rsidRPr="00FA0899">
                                      <w:rPr>
                                        <w:rFonts w:ascii="Helvetica" w:eastAsia="Times New Roman" w:hAnsi="Helvetica" w:cs="Times New Roman"/>
                                        <w:color w:val="444D5C"/>
                                        <w:sz w:val="20"/>
                                        <w:szCs w:val="20"/>
                                        <w:lang w:eastAsia="fr-FR"/>
                                      </w:rPr>
                                      <w:t xml:space="preserve"> a émis un AVIS DÉFAVORABLE au projet de 10 éoliennes industrielles d’EOLFI.</w:t>
                                    </w:r>
                                    <w:r w:rsidRPr="00FA0899">
                                      <w:rPr>
                                        <w:rFonts w:ascii="Helvetica" w:eastAsia="Times New Roman" w:hAnsi="Helvetica" w:cs="Times New Roman"/>
                                        <w:color w:val="444D5C"/>
                                        <w:sz w:val="20"/>
                                        <w:szCs w:val="20"/>
                                        <w:lang w:eastAsia="fr-FR"/>
                                      </w:rPr>
                                      <w:br/>
                                    </w:r>
                                    <w:r w:rsidRPr="00FA0899">
                                      <w:rPr>
                                        <w:rFonts w:ascii="Helvetica" w:eastAsia="Times New Roman" w:hAnsi="Helvetica" w:cs="Times New Roman"/>
                                        <w:color w:val="444D5C"/>
                                        <w:sz w:val="20"/>
                                        <w:szCs w:val="20"/>
                                        <w:lang w:eastAsia="fr-FR"/>
                                      </w:rPr>
                                      <w:br/>
                                    </w:r>
                                    <w:r w:rsidRPr="00FA0899">
                                      <w:rPr>
                                        <w:rFonts w:ascii="Helvetica" w:eastAsia="Times New Roman" w:hAnsi="Helvetica" w:cs="Times New Roman"/>
                                        <w:b/>
                                        <w:bCs/>
                                        <w:color w:val="B22222"/>
                                        <w:sz w:val="20"/>
                                        <w:szCs w:val="20"/>
                                        <w:lang w:eastAsia="fr-FR"/>
                                      </w:rPr>
                                      <w:t>« On ne peut imposer ce type de projet contre l’avis majoritairement défavorable d’une population »</w:t>
                                    </w:r>
                                    <w:r w:rsidRPr="00FA0899">
                                      <w:rPr>
                                        <w:rFonts w:ascii="Helvetica" w:eastAsia="Times New Roman" w:hAnsi="Helvetica" w:cs="Times New Roman"/>
                                        <w:color w:val="444D5C"/>
                                        <w:sz w:val="20"/>
                                        <w:szCs w:val="20"/>
                                        <w:lang w:eastAsia="fr-FR"/>
                                      </w:rPr>
                                      <w:br/>
                                    </w:r>
                                    <w:r w:rsidRPr="00FA0899">
                                      <w:rPr>
                                        <w:rFonts w:ascii="Helvetica" w:eastAsia="Times New Roman" w:hAnsi="Helvetica" w:cs="Times New Roman"/>
                                        <w:color w:val="444D5C"/>
                                        <w:sz w:val="20"/>
                                        <w:szCs w:val="20"/>
                                        <w:lang w:eastAsia="fr-FR"/>
                                      </w:rPr>
                                      <w:br/>
                                      <w:t>C’est une bataille gagnée grâce à la mobilisation active des opposants, comme le reconnaît explicitement l’avis rendu :  </w:t>
                                    </w:r>
                                    <w:r w:rsidRPr="00FA0899">
                                      <w:rPr>
                                        <w:rFonts w:ascii="Helvetica" w:eastAsia="Times New Roman" w:hAnsi="Helvetica" w:cs="Times New Roman"/>
                                        <w:color w:val="444D5C"/>
                                        <w:sz w:val="20"/>
                                        <w:szCs w:val="20"/>
                                        <w:lang w:eastAsia="fr-FR"/>
                                      </w:rPr>
                                      <w:br/>
                                      <w:t>« Dans un grand nombre de contributions, on peut constater qu’une partie du public a étudié sérieusement le dossier, déposé un nombre non négligeable de remarques et a apporté des éléments d’analyse tangibles, qui méritent d’être pris en considération. Les habitants qui se sont déclarés favorables au projet lors de l’enquête publique n’ont pas pu ou pas su mobiliser ni fédérer une partie de la population qui ne lui était pas opposée.</w:t>
                                    </w:r>
                                    <w:r w:rsidRPr="00FA0899">
                                      <w:rPr>
                                        <w:rFonts w:ascii="Helvetica" w:eastAsia="Times New Roman" w:hAnsi="Helvetica" w:cs="Times New Roman"/>
                                        <w:color w:val="444D5C"/>
                                        <w:sz w:val="20"/>
                                        <w:szCs w:val="20"/>
                                        <w:lang w:eastAsia="fr-FR"/>
                                      </w:rPr>
                                      <w:br/>
                                      <w:t>On peut considérer que leur soutien a été plus passif qu’actif, contrairement aux opposants beaucoup plus </w:t>
                                    </w:r>
                                    <w:r w:rsidRPr="00FA0899">
                                      <w:rPr>
                                        <w:rFonts w:ascii="Helvetica" w:eastAsia="Times New Roman" w:hAnsi="Helvetica" w:cs="Times New Roman"/>
                                        <w:b/>
                                        <w:bCs/>
                                        <w:color w:val="444D5C"/>
                                        <w:sz w:val="20"/>
                                        <w:szCs w:val="20"/>
                                        <w:lang w:eastAsia="fr-FR"/>
                                      </w:rPr>
                                      <w:t>réactifs et organisés</w:t>
                                    </w:r>
                                    <w:proofErr w:type="gramStart"/>
                                    <w:r w:rsidRPr="00FA0899">
                                      <w:rPr>
                                        <w:rFonts w:ascii="Helvetica" w:eastAsia="Times New Roman" w:hAnsi="Helvetica" w:cs="Times New Roman"/>
                                        <w:color w:val="444D5C"/>
                                        <w:sz w:val="20"/>
                                        <w:szCs w:val="20"/>
                                        <w:lang w:eastAsia="fr-FR"/>
                                      </w:rPr>
                                      <w:t>.»</w:t>
                                    </w:r>
                                    <w:proofErr w:type="gramEnd"/>
                                    <w:r w:rsidRPr="00FA0899">
                                      <w:rPr>
                                        <w:rFonts w:ascii="Helvetica" w:eastAsia="Times New Roman" w:hAnsi="Helvetica" w:cs="Times New Roman"/>
                                        <w:color w:val="444D5C"/>
                                        <w:sz w:val="20"/>
                                        <w:szCs w:val="20"/>
                                        <w:lang w:eastAsia="fr-FR"/>
                                      </w:rPr>
                                      <w:br/>
                                    </w:r>
                                    <w:r w:rsidRPr="00FA0899">
                                      <w:rPr>
                                        <w:rFonts w:ascii="Helvetica" w:eastAsia="Times New Roman" w:hAnsi="Helvetica" w:cs="Times New Roman"/>
                                        <w:color w:val="444D5C"/>
                                        <w:sz w:val="20"/>
                                        <w:szCs w:val="20"/>
                                        <w:lang w:eastAsia="fr-FR"/>
                                      </w:rPr>
                                      <w:br/>
                                      <w:t>Mais il faut lire en détail ce texte qui met en évidence tous les points importants qu’une commission d’enquête étudie. Et donc tous les éléments que les associations confrontées à une enquête publique doivent préparer. </w:t>
                                    </w:r>
                                    <w:r w:rsidRPr="00FA0899">
                                      <w:rPr>
                                        <w:rFonts w:ascii="Helvetica" w:eastAsia="Times New Roman" w:hAnsi="Helvetica" w:cs="Times New Roman"/>
                                        <w:color w:val="444D5C"/>
                                        <w:sz w:val="20"/>
                                        <w:szCs w:val="20"/>
                                        <w:lang w:eastAsia="fr-FR"/>
                                      </w:rPr>
                                      <w:br/>
                                      <w:t>Voir sur le site -</w:t>
                                    </w:r>
                                    <w:hyperlink r:id="rId10" w:tgtFrame="_blank" w:history="1">
                                      <w:r w:rsidRPr="00FA0899">
                                        <w:rPr>
                                          <w:rFonts w:ascii="Helvetica" w:eastAsia="Times New Roman" w:hAnsi="Helvetica" w:cs="Times New Roman"/>
                                          <w:color w:val="007C89"/>
                                          <w:sz w:val="20"/>
                                          <w:szCs w:val="20"/>
                                          <w:u w:val="single"/>
                                          <w:lang w:eastAsia="fr-FR"/>
                                        </w:rPr>
                                        <w:t> Une victoire riche d'enseignements</w:t>
                                      </w:r>
                                    </w:hyperlink>
                                    <w:r w:rsidRPr="00FA0899">
                                      <w:rPr>
                                        <w:rFonts w:ascii="Helvetica" w:eastAsia="Times New Roman" w:hAnsi="Helvetica" w:cs="Times New Roman"/>
                                        <w:color w:val="444D5C"/>
                                        <w:sz w:val="20"/>
                                        <w:szCs w:val="20"/>
                                        <w:lang w:eastAsia="fr-FR"/>
                                      </w:rPr>
                                      <w:t> - les éléments relevés dans les conclusions des commissaires enquêteurs. Ne pas hésiter à consulter le texte intégral de l’avis ! </w:t>
                                    </w:r>
                                  </w:p>
                                  <w:p w:rsidR="00FA0899" w:rsidRPr="00FA0899" w:rsidRDefault="00FA0899" w:rsidP="00FA0899">
                                    <w:pPr>
                                      <w:spacing w:line="263" w:lineRule="atLeast"/>
                                      <w:jc w:val="center"/>
                                      <w:rPr>
                                        <w:rFonts w:ascii="Helvetica" w:eastAsia="Times New Roman" w:hAnsi="Helvetica" w:cs="Times New Roman"/>
                                        <w:color w:val="444D5C"/>
                                        <w:sz w:val="20"/>
                                        <w:szCs w:val="20"/>
                                        <w:lang w:eastAsia="fr-FR"/>
                                      </w:rPr>
                                    </w:pPr>
                                    <w:r w:rsidRPr="00FA0899">
                                      <w:rPr>
                                        <w:rFonts w:ascii="Helvetica" w:eastAsia="Times New Roman" w:hAnsi="Helvetica" w:cs="Times New Roman"/>
                                        <w:color w:val="444D5C"/>
                                        <w:sz w:val="20"/>
                                        <w:szCs w:val="20"/>
                                        <w:lang w:eastAsia="fr-FR"/>
                                      </w:rPr>
                                      <w:br/>
                                    </w:r>
                                    <w:hyperlink r:id="rId11" w:history="1">
                                      <w:r w:rsidRPr="00FA0899">
                                        <w:rPr>
                                          <w:rFonts w:ascii="Helvetica" w:eastAsia="Times New Roman" w:hAnsi="Helvetica" w:cs="Times New Roman"/>
                                          <w:color w:val="007C89"/>
                                          <w:sz w:val="20"/>
                                          <w:szCs w:val="20"/>
                                          <w:u w:val="single"/>
                                          <w:lang w:eastAsia="fr-FR"/>
                                        </w:rPr>
                                        <w:t>Voici le texte complet de l'avis</w:t>
                                      </w:r>
                                    </w:hyperlink>
                                  </w:p>
                                </w:tc>
                              </w:tr>
                            </w:tbl>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left"/>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tcMar>
                                <w:top w:w="135" w:type="dxa"/>
                                <w:left w:w="270" w:type="dxa"/>
                                <w:bottom w:w="135" w:type="dxa"/>
                                <w:right w:w="270" w:type="dxa"/>
                              </w:tcMar>
                              <w:vAlign w:val="center"/>
                              <w:hideMark/>
                            </w:tcPr>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left"/>
                    <w:rPr>
                      <w:rFonts w:ascii="Times New Roman" w:eastAsia="Times New Roman" w:hAnsi="Times New Roman" w:cs="Times New Roman"/>
                      <w:vanish/>
                      <w:lang w:eastAsia="fr-FR"/>
                    </w:rPr>
                  </w:pPr>
                </w:p>
                <w:tbl>
                  <w:tblPr>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766"/>
                        </w:tblGrid>
                        <w:tr w:rsidR="00FA0899" w:rsidRPr="00FA0899">
                          <w:tc>
                            <w:tcPr>
                              <w:tcW w:w="0" w:type="auto"/>
                              <w:tcMar>
                                <w:top w:w="0" w:type="dxa"/>
                                <w:left w:w="270" w:type="dxa"/>
                                <w:bottom w:w="135" w:type="dxa"/>
                                <w:right w:w="270" w:type="dxa"/>
                              </w:tcMar>
                              <w:hideMark/>
                            </w:tcPr>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left"/>
                    <w:rPr>
                      <w:rFonts w:ascii="Times New Roman" w:eastAsia="Times New Roman" w:hAnsi="Times New Roman" w:cs="Times New Roman"/>
                      <w:lang w:eastAsia="fr-FR"/>
                    </w:rPr>
                  </w:pPr>
                </w:p>
              </w:tc>
            </w:tr>
          </w:tbl>
          <w:p w:rsidR="00FA0899" w:rsidRPr="00FA0899" w:rsidRDefault="00FA0899" w:rsidP="00FA0899">
            <w:pPr>
              <w:jc w:val="center"/>
              <w:rPr>
                <w:rFonts w:ascii="-webkit-standard" w:eastAsia="Times New Roman" w:hAnsi="-webkit-standard" w:cs="Times New Roman"/>
                <w:color w:val="000000"/>
                <w:lang w:eastAsia="fr-FR"/>
              </w:rPr>
            </w:pPr>
          </w:p>
        </w:tc>
      </w:tr>
    </w:tbl>
    <w:p w:rsidR="003D03C7" w:rsidRPr="00FA0899" w:rsidRDefault="00765DB8" w:rsidP="00FA0899"/>
    <w:sectPr w:rsidR="003D03C7" w:rsidRPr="00FA0899" w:rsidSect="001A1BEB">
      <w:pgSz w:w="11900" w:h="16840"/>
      <w:pgMar w:top="567" w:right="567" w:bottom="567" w:left="56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webkit-standard">
    <w:altName w:val="Cambria"/>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201879"/>
    <w:multiLevelType w:val="multilevel"/>
    <w:tmpl w:val="3D24F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EE78E1"/>
    <w:multiLevelType w:val="multilevel"/>
    <w:tmpl w:val="258C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74F"/>
    <w:rsid w:val="001A1BEB"/>
    <w:rsid w:val="006E5305"/>
    <w:rsid w:val="00765DB8"/>
    <w:rsid w:val="00892B1B"/>
    <w:rsid w:val="00A22138"/>
    <w:rsid w:val="00A8674F"/>
    <w:rsid w:val="00D94291"/>
    <w:rsid w:val="00FA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697F71B9"/>
  <w14:defaultImageDpi w14:val="32767"/>
  <w15:chartTrackingRefBased/>
  <w15:docId w15:val="{2C01FE79-7284-E54A-8E6F-3347CCE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4">
    <w:name w:val="heading 4"/>
    <w:basedOn w:val="Normal"/>
    <w:link w:val="Titre4Car"/>
    <w:uiPriority w:val="9"/>
    <w:qFormat/>
    <w:rsid w:val="00A8674F"/>
    <w:pPr>
      <w:spacing w:before="100" w:beforeAutospacing="1" w:after="100" w:afterAutospacing="1"/>
      <w:jc w:val="left"/>
      <w:outlineLvl w:val="3"/>
    </w:pPr>
    <w:rPr>
      <w:rFonts w:ascii="Times New Roman" w:eastAsia="Times New Roman" w:hAnsi="Times New Roman" w:cs="Times New Roman"/>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
    <w:rsid w:val="00A8674F"/>
    <w:rPr>
      <w:rFonts w:ascii="Times New Roman" w:eastAsia="Times New Roman" w:hAnsi="Times New Roman" w:cs="Times New Roman"/>
      <w:b/>
      <w:bCs/>
      <w:lang w:eastAsia="fr-FR"/>
    </w:rPr>
  </w:style>
  <w:style w:type="character" w:styleId="Lienhypertexte">
    <w:name w:val="Hyperlink"/>
    <w:basedOn w:val="Policepardfaut"/>
    <w:uiPriority w:val="99"/>
    <w:unhideWhenUsed/>
    <w:rsid w:val="00A8674F"/>
    <w:rPr>
      <w:color w:val="0000FF"/>
      <w:u w:val="single"/>
    </w:rPr>
  </w:style>
  <w:style w:type="character" w:customStyle="1" w:styleId="mc-toc-title">
    <w:name w:val="mc-toc-title"/>
    <w:basedOn w:val="Policepardfaut"/>
    <w:rsid w:val="00A8674F"/>
  </w:style>
  <w:style w:type="character" w:styleId="lev">
    <w:name w:val="Strong"/>
    <w:basedOn w:val="Policepardfaut"/>
    <w:uiPriority w:val="22"/>
    <w:qFormat/>
    <w:rsid w:val="00A8674F"/>
    <w:rPr>
      <w:b/>
      <w:bCs/>
    </w:rPr>
  </w:style>
  <w:style w:type="character" w:customStyle="1" w:styleId="apple-converted-space">
    <w:name w:val="apple-converted-space"/>
    <w:basedOn w:val="Policepardfaut"/>
    <w:rsid w:val="00A8674F"/>
  </w:style>
  <w:style w:type="character" w:styleId="Accentuation">
    <w:name w:val="Emphasis"/>
    <w:basedOn w:val="Policepardfaut"/>
    <w:uiPriority w:val="20"/>
    <w:qFormat/>
    <w:rsid w:val="00A867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9169286">
      <w:bodyDiv w:val="1"/>
      <w:marLeft w:val="0"/>
      <w:marRight w:val="0"/>
      <w:marTop w:val="0"/>
      <w:marBottom w:val="0"/>
      <w:divBdr>
        <w:top w:val="none" w:sz="0" w:space="0" w:color="auto"/>
        <w:left w:val="none" w:sz="0" w:space="0" w:color="auto"/>
        <w:bottom w:val="none" w:sz="0" w:space="0" w:color="auto"/>
        <w:right w:val="none" w:sz="0" w:space="0" w:color="auto"/>
      </w:divBdr>
    </w:div>
    <w:div w:id="173889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toutesnosenergies.fr" TargetMode="External"/><Relationship Id="rId11" Type="http://schemas.openxmlformats.org/officeDocument/2006/relationships/hyperlink" Target="https://toutesnosenergies.us19.list-manage.com/track/click?u=bbb0e4366228544d63107181b&amp;id=434774249d&amp;e=38f09f7320" TargetMode="External"/><Relationship Id="rId5" Type="http://schemas.openxmlformats.org/officeDocument/2006/relationships/image" Target="media/image1.jpeg"/><Relationship Id="rId10" Type="http://schemas.openxmlformats.org/officeDocument/2006/relationships/hyperlink" Target="https://toutesnosenergies.us19.list-manage.com/track/click?u=bbb0e4366228544d63107181b&amp;id=8724a41307&amp;e=38f09f7320" TargetMode="External"/><Relationship Id="rId4" Type="http://schemas.openxmlformats.org/officeDocument/2006/relationships/webSettings" Target="webSettings.xml"/><Relationship Id="rId9" Type="http://schemas.openxmlformats.org/officeDocument/2006/relationships/hyperlink" Target="https://toutesnosenergies.us19.list-manage.com/track/click?u=bbb0e4366228544d63107181b&amp;id=0cbebbdf7c&amp;e=38f09f732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873</Words>
  <Characters>4805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DOIZON</dc:creator>
  <cp:keywords/>
  <dc:description/>
  <cp:lastModifiedBy>André DOIZON</cp:lastModifiedBy>
  <cp:revision>1</cp:revision>
  <dcterms:created xsi:type="dcterms:W3CDTF">2019-03-29T12:20:00Z</dcterms:created>
  <dcterms:modified xsi:type="dcterms:W3CDTF">2019-03-29T12:57:00Z</dcterms:modified>
</cp:coreProperties>
</file>